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rPr>
          <w:b/>
          <w:bCs/>
          <w:color w:val="B7862C"/>
          <w:sz w:val="22"/>
          <w:szCs w:val="22"/>
        </w:rPr>
        <w:t xml:space="preserve">GEORGIA REAL ESTATE CONTINUING EDUCATION</w:t>
      </w:r>
    </w:p>
    <w:p>
      <w:pPr>
        <w:spacing w:after="200"/>
        <w:jc w:val="center"/>
      </w:pPr>
      <w:r>
        <w:rPr>
          <w:b/>
          <w:bCs/>
          <w:color w:val="1F3864"/>
          <w:sz w:val="40"/>
          <w:szCs w:val="40"/>
        </w:rPr>
        <w:t xml:space="preserve">Risk Management: What You Say and Do Will Be Used Against You!</w:t>
      </w:r>
    </w:p>
    <w:p>
      <w:pPr>
        <w:pBdr>
          <w:bottom w:val="single" w:color="B7862C" w:sz="12" w:space="8"/>
        </w:pBdr>
        <w:spacing w:after="300"/>
        <w:jc w:val="center"/>
      </w:pPr>
      <w:r>
        <w:rPr>
          <w:i/>
          <w:iCs/>
          <w:color w:val="555555"/>
          <w:sz w:val="26"/>
          <w:szCs w:val="26"/>
        </w:rPr>
        <w:t xml:space="preserve">Student Handout</w:t>
      </w:r>
    </w:p>
    <w:p>
      <w:pPr>
        <w:spacing w:after="120"/>
      </w:pPr>
      <w:r>
        <w:t xml:space="preserve">This handout follows the course discussion and is meant to be used alongside the class presentation. Space is provided for notes and for working through the scenario exercises as they come up in class.</w:t>
      </w:r>
    </w:p>
    <w:p>
      <w:pPr>
        <w:pStyle w:val="Heading1"/>
        <w:pBdr>
          <w:bottom w:val="single" w:color="1F3864" w:sz="8" w:space="4"/>
        </w:pBdr>
        <w:spacing w:after="160" w:before="320"/>
      </w:pPr>
      <w:r>
        <w:rPr>
          <w:b/>
          <w:bCs/>
          <w:color w:val="1F3864"/>
        </w:rPr>
        <w:t xml:space="preserve">1. When Things Go Wrong</w:t>
      </w:r>
    </w:p>
    <w:p>
      <w:pPr>
        <w:spacing w:after="120"/>
      </w:pPr>
      <w:r>
        <w:t xml:space="preserve">Real estate transactions can go sideways in many ways. When they do, licensees may face:</w:t>
      </w:r>
    </w:p>
    <w:p>
      <w:pPr>
        <w:pStyle w:val="ListParagraph"/>
        <w:numPr>
          <w:ilvl w:val="0"/>
          <w:numId w:val="2"/>
        </w:numPr>
        <w:spacing w:after="60"/>
      </w:pPr>
      <w:r>
        <w:t xml:space="preserve">Lawsuits</w:t>
      </w:r>
    </w:p>
    <w:p>
      <w:pPr>
        <w:pStyle w:val="ListParagraph"/>
        <w:numPr>
          <w:ilvl w:val="0"/>
          <w:numId w:val="2"/>
        </w:numPr>
        <w:spacing w:after="60"/>
      </w:pPr>
      <w:r>
        <w:t xml:space="preserve">Complaints against the licensee to the licensing board</w:t>
      </w:r>
    </w:p>
    <w:p>
      <w:pPr>
        <w:pStyle w:val="ListParagraph"/>
        <w:numPr>
          <w:ilvl w:val="0"/>
          <w:numId w:val="2"/>
        </w:numPr>
        <w:spacing w:after="60"/>
      </w:pPr>
      <w:r>
        <w:t xml:space="preserve">Ethics complaints</w:t>
      </w:r>
    </w:p>
    <w:p>
      <w:pPr>
        <w:pStyle w:val="ListParagraph"/>
        <w:numPr>
          <w:ilvl w:val="0"/>
          <w:numId w:val="2"/>
        </w:numPr>
        <w:spacing w:after="60"/>
      </w:pPr>
      <w:r>
        <w:t xml:space="preserve">Other consequences — discuss with your class</w:t>
      </w:r>
    </w:p>
    <w:p>
      <w:pPr>
        <w:pStyle w:val="Heading2"/>
        <w:spacing w:after="120" w:before="240"/>
      </w:pPr>
      <w:r>
        <w:rPr>
          <w:b/>
          <w:bCs/>
          <w:color w:val="B7862C"/>
        </w:rPr>
        <w:t xml:space="preserve">The Ten Most Frequent Claims Against Real Estate Licensees (Source: NAR)</w:t>
      </w:r>
    </w:p>
    <w:p>
      <w:pPr>
        <w:pStyle w:val="ListParagraph"/>
        <w:numPr>
          <w:ilvl w:val="0"/>
          <w:numId w:val="3"/>
        </w:numPr>
        <w:spacing w:after="100"/>
      </w:pPr>
      <w:r>
        <w:t xml:space="preserve">Fraud</w:t>
      </w:r>
    </w:p>
    <w:p>
      <w:pPr>
        <w:pStyle w:val="ListParagraph"/>
        <w:numPr>
          <w:ilvl w:val="0"/>
          <w:numId w:val="3"/>
        </w:numPr>
        <w:spacing w:after="100"/>
      </w:pPr>
      <w:r>
        <w:t xml:space="preserve">Breach of Duty</w:t>
      </w:r>
    </w:p>
    <w:p>
      <w:pPr>
        <w:pStyle w:val="ListParagraph"/>
        <w:numPr>
          <w:ilvl w:val="0"/>
          <w:numId w:val="3"/>
        </w:numPr>
        <w:spacing w:after="100"/>
      </w:pPr>
      <w:r>
        <w:t xml:space="preserve">Breach of Contract</w:t>
      </w:r>
    </w:p>
    <w:p>
      <w:pPr>
        <w:pStyle w:val="ListParagraph"/>
        <w:numPr>
          <w:ilvl w:val="0"/>
          <w:numId w:val="3"/>
        </w:numPr>
        <w:spacing w:after="100"/>
      </w:pPr>
      <w:r>
        <w:t xml:space="preserve">Negligence</w:t>
      </w:r>
    </w:p>
    <w:p>
      <w:pPr>
        <w:pStyle w:val="ListParagraph"/>
        <w:numPr>
          <w:ilvl w:val="0"/>
          <w:numId w:val="3"/>
        </w:numPr>
        <w:spacing w:after="100"/>
      </w:pPr>
      <w:r>
        <w:t xml:space="preserve">Bodily injury / property damage</w:t>
      </w:r>
    </w:p>
    <w:p>
      <w:pPr>
        <w:pStyle w:val="ListParagraph"/>
        <w:numPr>
          <w:ilvl w:val="0"/>
          <w:numId w:val="3"/>
        </w:numPr>
        <w:spacing w:after="100"/>
      </w:pPr>
      <w:r>
        <w:t xml:space="preserve">Misrepresentation regarding the condition of the property</w:t>
      </w:r>
    </w:p>
    <w:p>
      <w:pPr>
        <w:pStyle w:val="ListParagraph"/>
        <w:numPr>
          <w:ilvl w:val="0"/>
          <w:numId w:val="3"/>
        </w:numPr>
        <w:spacing w:after="100"/>
      </w:pPr>
      <w:r>
        <w:t xml:space="preserve">Consumer Protection Act</w:t>
      </w:r>
    </w:p>
    <w:p>
      <w:pPr>
        <w:pStyle w:val="ListParagraph"/>
        <w:numPr>
          <w:ilvl w:val="0"/>
          <w:numId w:val="3"/>
        </w:numPr>
        <w:spacing w:after="100"/>
      </w:pPr>
      <w:r>
        <w:t xml:space="preserve">Earnest / escrow money dispute</w:t>
      </w:r>
    </w:p>
    <w:p>
      <w:pPr>
        <w:pStyle w:val="ListParagraph"/>
        <w:numPr>
          <w:ilvl w:val="0"/>
          <w:numId w:val="3"/>
        </w:numPr>
        <w:spacing w:after="100"/>
      </w:pPr>
      <w:r>
        <w:t xml:space="preserve">Misrepresentation regarding flooding or leaks</w:t>
      </w:r>
    </w:p>
    <w:p>
      <w:pPr>
        <w:pStyle w:val="ListParagraph"/>
        <w:numPr>
          <w:ilvl w:val="0"/>
          <w:numId w:val="3"/>
        </w:numPr>
        <w:spacing w:after="100"/>
      </w:pPr>
      <w:r>
        <w:t xml:space="preserve">Misrepresentation regarding the value of the property</w:t>
      </w:r>
    </w:p>
    <w:p>
      <w:pPr>
        <w:pStyle w:val="Heading2"/>
        <w:spacing w:after="120" w:before="240"/>
      </w:pPr>
      <w:r>
        <w:rPr>
          <w:b/>
          <w:bCs/>
          <w:color w:val="B7862C"/>
        </w:rPr>
        <w:t xml:space="preserve">Exercise: Which Claim Applies?</w:t>
      </w:r>
    </w:p>
    <w:p>
      <w:pPr>
        <w:spacing w:after="160"/>
      </w:pPr>
      <w:r>
        <w:rPr>
          <w:i/>
          <w:iCs/>
          <w:color w:val="555555"/>
          <w:sz w:val="20"/>
          <w:szCs w:val="20"/>
        </w:rPr>
        <w:t xml:space="preserve">For each situation below, identify which of the ten claims listed above might apply. Write the claim number(s) in the space provided.</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8500"/>
        <w:gridCol w:w="1600"/>
      </w:tblGrid>
      <w:tr>
        <w:trPr>
          <w:tblHeader/>
        </w:trPr>
        <w:tc>
          <w:tcPr>
            <w:tcW w:type="pct" w:w="50%"/>
            <w:shd w:fill="1F3864" w:val="clear"/>
            <w:tcMar>
              <w:top w:type="dxa" w:w="80"/>
              <w:left w:type="dxa" w:w="120"/>
              <w:bottom w:type="dxa" w:w="80"/>
              <w:right w:type="dxa" w:w="120"/>
            </w:tcMar>
          </w:tcPr>
          <w:p>
            <w:r>
              <w:rPr>
                <w:b/>
                <w:bCs/>
                <w:color w:val="FFFFFF"/>
              </w:rPr>
              <w:t xml:space="preserve">Situation</w:t>
            </w:r>
          </w:p>
        </w:tc>
        <w:tc>
          <w:tcPr>
            <w:tcW w:type="pct" w:w="50%"/>
            <w:shd w:fill="1F3864" w:val="clear"/>
            <w:tcMar>
              <w:top w:type="dxa" w:w="80"/>
              <w:left w:type="dxa" w:w="120"/>
              <w:bottom w:type="dxa" w:w="80"/>
              <w:right w:type="dxa" w:w="120"/>
            </w:tcMar>
          </w:tcPr>
          <w:p>
            <w:r>
              <w:rPr>
                <w:b/>
                <w:bCs/>
                <w:color w:val="FFFFFF"/>
              </w:rPr>
              <w:t xml:space="preserve">Claim #</w:t>
            </w:r>
          </w:p>
        </w:tc>
      </w:tr>
      <w:tr>
        <w:tc>
          <w:tcPr>
            <w:tcW w:type="pct" w:w="100%"/>
            <w:shd w:fill="FFFFFF" w:val="clear"/>
            <w:tcMar>
              <w:top w:type="dxa" w:w="100"/>
              <w:left w:type="dxa" w:w="120"/>
              <w:bottom w:type="dxa" w:w="100"/>
              <w:right w:type="dxa" w:w="120"/>
            </w:tcMar>
          </w:tcPr>
          <w:p>
            <w:r>
              <w:t xml:space="preserve">1. The listing agent knew the seller had an ongoing dispute with a neighbor over a shared driveway, and failed to disclose it.</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2. The selling agent realized the square footage on the MLS sheet was incorrect, but did not bring it to the buyer's attention.</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3. The listing agent realized the builder was going bankrupt and would not complete the roads and amenities, and did not disclose it to the buyer's agent.</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4. The listing agreement had no language about presenting offers after acceptance; a later offer was not presented, and the seller found out.</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5. The buyer's agent was told her clients were cancelling based on a home inspection, but she missed the cancellation deadline.</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6. The buyer's agent assured buyers a property was not in the flood plain based on personal knowledge; redrawn FEMA maps later showed otherwise, and the sale fell apart.</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7. The contract required an earnest money deposit within 5 days of acceptance; the buyer never made it, and the agent never told the sellers.</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8. An out-of-town buyer said, “You wouldn’t let us buy this if the price was too high,” and the listing agent (representing the seller) said nothing.</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9. A new agent's listing sells immediately; the sellers later allege the listing price was at least 20% below market value.</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10. A buyer closed without a final walk-through (and wasn't told one was available); items included in the sale were missing and damage was discovered afterward.</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11. A listing agent put a commercial property in MLS 11 months after signing; the buyer's agent found a right of first refusal in the deed, which was then exercised.</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12. A listing agent refused to present an offer, saying, “I know my clients would not accept that.” The buyers went to the seller directly, who accepted.</w:t>
            </w:r>
          </w:p>
        </w:tc>
        <w:tc>
          <w:tcPr>
            <w:tcW w:type="pct" w:w="100%"/>
            <w:shd w:fill="FFFFFF" w:val="clear"/>
            <w:tcMar>
              <w:top w:type="dxa" w:w="100"/>
              <w:left w:type="dxa" w:w="120"/>
              <w:bottom w:type="dxa" w:w="100"/>
              <w:right w:type="dxa" w:w="120"/>
            </w:tcMar>
          </w:tcPr>
          <w:p>
            <w:r>
              <w:t xml:space="preserve"> </w:t>
            </w:r>
          </w:p>
        </w:tc>
      </w:tr>
    </w:tbl>
    <w:p>
      <w:r>
        <w:br w:type="page"/>
      </w:r>
    </w:p>
    <w:p>
      <w:pPr>
        <w:pStyle w:val="Heading1"/>
        <w:pBdr>
          <w:bottom w:val="single" w:color="1F3864" w:sz="8" w:space="4"/>
        </w:pBdr>
        <w:spacing w:after="160" w:before="320"/>
      </w:pPr>
      <w:r>
        <w:rPr>
          <w:b/>
          <w:bCs/>
          <w:color w:val="1F3864"/>
        </w:rPr>
        <w:t xml:space="preserve">2. Fraud or Misrepresentation?</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5050"/>
        <w:gridCol w:w="5050"/>
      </w:tblGrid>
      <w:tr>
        <w:trPr>
          <w:tblHeader/>
        </w:trPr>
        <w:tc>
          <w:tcPr>
            <w:tcW w:type="pct" w:w="50%"/>
            <w:shd w:fill="1F3864" w:val="clear"/>
            <w:tcMar>
              <w:top w:type="dxa" w:w="80"/>
              <w:left w:type="dxa" w:w="120"/>
              <w:bottom w:type="dxa" w:w="80"/>
              <w:right w:type="dxa" w:w="120"/>
            </w:tcMar>
          </w:tcPr>
          <w:p>
            <w:r>
              <w:rPr>
                <w:b/>
                <w:bCs/>
                <w:color w:val="FFFFFF"/>
              </w:rPr>
              <w:t xml:space="preserve">Fraud</w:t>
            </w:r>
          </w:p>
        </w:tc>
        <w:tc>
          <w:tcPr>
            <w:tcW w:type="pct" w:w="50%"/>
            <w:shd w:fill="1F3864" w:val="clear"/>
            <w:tcMar>
              <w:top w:type="dxa" w:w="80"/>
              <w:left w:type="dxa" w:w="120"/>
              <w:bottom w:type="dxa" w:w="80"/>
              <w:right w:type="dxa" w:w="120"/>
            </w:tcMar>
          </w:tcPr>
          <w:p>
            <w:r>
              <w:rPr>
                <w:b/>
                <w:bCs/>
                <w:color w:val="FFFFFF"/>
              </w:rPr>
              <w:t xml:space="preserve">Misrepresentation</w:t>
            </w:r>
          </w:p>
        </w:tc>
      </w:tr>
      <w:tr>
        <w:tc>
          <w:tcPr>
            <w:tcW w:type="pct" w:w="50%"/>
            <w:shd w:fill="FFFFFF" w:val="clear"/>
            <w:tcMar>
              <w:top w:type="dxa" w:w="80"/>
              <w:left w:type="dxa" w:w="120"/>
              <w:bottom w:type="dxa" w:w="80"/>
              <w:right w:type="dxa" w:w="120"/>
            </w:tcMar>
          </w:tcPr>
          <w:p>
            <w:r>
              <w:rPr>
                <w:b/>
                <w:bCs/>
              </w:rPr>
              <w:t xml:space="preserve">Intentional misrepresentation of a material fact</w:t>
            </w:r>
          </w:p>
        </w:tc>
        <w:tc>
          <w:tcPr>
            <w:tcW w:type="pct" w:w="50%"/>
            <w:shd w:fill="FFFFFF" w:val="clear"/>
            <w:tcMar>
              <w:top w:type="dxa" w:w="80"/>
              <w:left w:type="dxa" w:w="120"/>
              <w:bottom w:type="dxa" w:w="80"/>
              <w:right w:type="dxa" w:w="120"/>
            </w:tcMar>
          </w:tcPr>
          <w:p>
            <w:r>
              <w:t xml:space="preserve">Saying or writing something false or untrue, generally by mistake</w:t>
            </w:r>
          </w:p>
        </w:tc>
      </w:tr>
      <w:tr>
        <w:tc>
          <w:tcPr>
            <w:tcW w:type="pct" w:w="50%"/>
            <w:shd w:fill="F2F2F2" w:val="clear"/>
            <w:tcMar>
              <w:top w:type="dxa" w:w="80"/>
              <w:left w:type="dxa" w:w="120"/>
              <w:bottom w:type="dxa" w:w="80"/>
              <w:right w:type="dxa" w:w="120"/>
            </w:tcMar>
          </w:tcPr>
          <w:p>
            <w:r>
              <w:rPr>
                <w:b/>
                <w:bCs/>
              </w:rPr>
              <w:t xml:space="preserve">Made knowingly</w:t>
            </w:r>
          </w:p>
        </w:tc>
        <w:tc>
          <w:tcPr>
            <w:tcW w:type="pct" w:w="50%"/>
            <w:shd w:fill="F2F2F2" w:val="clear"/>
            <w:tcMar>
              <w:top w:type="dxa" w:w="80"/>
              <w:left w:type="dxa" w:w="120"/>
              <w:bottom w:type="dxa" w:w="80"/>
              <w:right w:type="dxa" w:w="120"/>
            </w:tcMar>
          </w:tcPr>
          <w:p>
            <w:r>
              <w:t xml:space="preserve">The person believes their statement is correct (“innocent misrepresentation”)</w:t>
            </w:r>
          </w:p>
        </w:tc>
      </w:tr>
      <w:tr>
        <w:tc>
          <w:tcPr>
            <w:tcW w:type="pct" w:w="50%"/>
            <w:shd w:fill="FFFFFF" w:val="clear"/>
            <w:tcMar>
              <w:top w:type="dxa" w:w="80"/>
              <w:left w:type="dxa" w:w="120"/>
              <w:bottom w:type="dxa" w:w="80"/>
              <w:right w:type="dxa" w:w="120"/>
            </w:tcMar>
          </w:tcPr>
          <w:p>
            <w:r>
              <w:rPr>
                <w:b/>
                <w:bCs/>
              </w:rPr>
              <w:t xml:space="preserve">Can occur by commission or omission</w:t>
            </w:r>
          </w:p>
        </w:tc>
        <w:tc>
          <w:tcPr>
            <w:tcW w:type="pct" w:w="50%"/>
            <w:shd w:fill="FFFFFF" w:val="clear"/>
            <w:tcMar>
              <w:top w:type="dxa" w:w="80"/>
              <w:left w:type="dxa" w:w="120"/>
              <w:bottom w:type="dxa" w:w="80"/>
              <w:right w:type="dxa" w:w="120"/>
            </w:tcMar>
          </w:tcPr>
          <w:p>
            <w:r>
              <w:t xml:space="preserve">Often defined simply as a “mistake”</w:t>
            </w:r>
          </w:p>
        </w:tc>
      </w:tr>
    </w:tbl>
    <w:p>
      <w:pPr>
        <w:spacing w:after="120"/>
      </w:pPr>
      <w:r>
        <w:t xml:space="preserve"> </w:t>
      </w:r>
    </w:p>
    <w:p>
      <w:pPr>
        <w:spacing w:after="120"/>
      </w:pPr>
      <w:r>
        <w:t xml:space="preserve">To prove fraud, the injured party must show:</w:t>
      </w:r>
    </w:p>
    <w:p>
      <w:pPr>
        <w:pStyle w:val="ListParagraph"/>
        <w:numPr>
          <w:ilvl w:val="0"/>
          <w:numId w:val="2"/>
        </w:numPr>
        <w:spacing w:after="60"/>
      </w:pPr>
      <w:r>
        <w:t xml:space="preserve">The statement was intended to be relied upon</w:t>
      </w:r>
    </w:p>
    <w:p>
      <w:pPr>
        <w:pStyle w:val="ListParagraph"/>
        <w:numPr>
          <w:ilvl w:val="0"/>
          <w:numId w:val="2"/>
        </w:numPr>
        <w:spacing w:after="60"/>
      </w:pPr>
      <w:r>
        <w:t xml:space="preserve">It was not merely an “opinion”</w:t>
      </w:r>
    </w:p>
    <w:p>
      <w:pPr>
        <w:pStyle w:val="ListParagraph"/>
        <w:numPr>
          <w:ilvl w:val="0"/>
          <w:numId w:val="2"/>
        </w:numPr>
        <w:spacing w:after="60"/>
      </w:pPr>
      <w:r>
        <w:t xml:space="preserve">The injured party relied on the statement and was harmed</w:t>
      </w:r>
    </w:p>
    <w:p>
      <w:pPr>
        <w:pStyle w:val="Heading2"/>
        <w:spacing w:after="120" w:before="240"/>
      </w:pPr>
      <w:r>
        <w:rPr>
          <w:b/>
          <w:bCs/>
          <w:color w:val="B7862C"/>
        </w:rPr>
        <w:t xml:space="preserve">Exercise: You Be the Judge</w:t>
      </w:r>
    </w:p>
    <w:p>
      <w:pPr>
        <w:spacing w:after="160"/>
      </w:pPr>
      <w:r>
        <w:rPr>
          <w:i/>
          <w:iCs/>
          <w:color w:val="555555"/>
          <w:sz w:val="20"/>
          <w:szCs w:val="20"/>
        </w:rPr>
        <w:t xml:space="preserve">For each scenario, decide whether it appears to be fraud, misrepresentation, or neither — and if it is one of those, who is committing it.</w:t>
      </w:r>
    </w:p>
    <w:p>
      <w:pPr>
        <w:spacing w:after="120"/>
      </w:pPr>
      <w:r>
        <w:t xml:space="preserve">1. Broker A had a listing under contract with Broker B. A home inspection found structural damage and the buyer cancelled. The seller rejected the inspection as “clueless,” hired his own inspector who found no damage, and Broker A later gave a new buyer only the seller's favorable report (not the first one).</w:t>
      </w:r>
    </w:p>
    <w:p>
      <w:pPr>
        <w:spacing w:after="120"/>
      </w:pPr>
      <w:r>
        <w:t xml:space="preserve">2. Broker C's buyer client presented a pre-approval letter, then a week later reported losing her job but expected to find work soon. Broker C did nothing further since the financing deadline hadn't passed.</w:t>
      </w:r>
    </w:p>
    <w:p>
      <w:pPr>
        <w:spacing w:after="120"/>
      </w:pPr>
      <w:r>
        <w:t xml:space="preserve">3. Broker O, asked about a radon test, told a young couple: “You can spend your money on that if you want to, but as far as I'm concerned that radon stuff is a lot of hooey.”</w:t>
      </w:r>
    </w:p>
    <w:p>
      <w:pPr>
        <w:spacing w:after="120"/>
      </w:pPr>
      <w:r>
        <w:t xml:space="preserve">4. Seller J told her broker the property line based on what her neighbors had shown her when she moved in three years earlier. A later survey showed the line was incorrect.</w:t>
      </w:r>
    </w:p>
    <w:p>
      <w:pPr>
        <w:spacing w:after="120"/>
      </w:pPr>
      <w:r>
        <w:t xml:space="preserve">5. A property sits near a publicly proposed (but not yet selected) site for a new sewage treatment plant. Broker K tells an agent they don't have to disclose it because the site hasn't been chosen.</w:t>
      </w:r>
    </w:p>
    <w:p>
      <w:pPr>
        <w:spacing w:after="120"/>
      </w:pPr>
      <w:r>
        <w:t xml:space="preserve">6. Broker Z, a shareholder in an LLC, presents an offer from that LLC to the listing broker without disclosing his ownership interest.</w:t>
      </w:r>
    </w:p>
    <w:p>
      <w:pPr>
        <w:pBdr>
          <w:bottom w:val="single" w:color="999999" w:sz="4" w:space="1"/>
        </w:pBdr>
        <w:spacing w:after="200"/>
      </w:pPr>
      <w:r>
        <w:t xml:space="preserve"> </w:t>
      </w:r>
    </w:p>
    <w:p>
      <w:pPr>
        <w:pStyle w:val="Heading1"/>
        <w:pBdr>
          <w:bottom w:val="single" w:color="1F3864" w:sz="8" w:space="4"/>
        </w:pBdr>
        <w:spacing w:after="160" w:before="320"/>
      </w:pPr>
      <w:r>
        <w:rPr>
          <w:b/>
          <w:bCs/>
          <w:color w:val="1F3864"/>
        </w:rPr>
        <w:t xml:space="preserve">3. Legal Framework &amp; Agency</w:t>
      </w:r>
    </w:p>
    <w:p>
      <w:pPr>
        <w:pStyle w:val="Heading2"/>
        <w:spacing w:after="120" w:before="240"/>
      </w:pPr>
      <w:r>
        <w:rPr>
          <w:b/>
          <w:bCs/>
          <w:color w:val="B7862C"/>
        </w:rPr>
        <w:t xml:space="preserve">Seller Disclosure</w:t>
      </w:r>
    </w:p>
    <w:p>
      <w:pPr>
        <w:pStyle w:val="ListParagraph"/>
        <w:numPr>
          <w:ilvl w:val="0"/>
          <w:numId w:val="2"/>
        </w:numPr>
        <w:spacing w:after="60"/>
      </w:pPr>
      <w:r>
        <w:t xml:space="preserve">Seller Property Disclosure required in writing</w:t>
      </w:r>
    </w:p>
    <w:p>
      <w:pPr>
        <w:pStyle w:val="ListParagraph"/>
        <w:numPr>
          <w:ilvl w:val="0"/>
          <w:numId w:val="2"/>
        </w:numPr>
        <w:spacing w:after="60"/>
      </w:pPr>
      <w:r>
        <w:t xml:space="preserve">Buyer has three days after receipt to cancel the contract</w:t>
      </w:r>
    </w:p>
    <w:p>
      <w:pPr>
        <w:spacing w:after="160"/>
      </w:pPr>
      <w:r>
        <w:rPr>
          <w:i/>
          <w:iCs/>
          <w:color w:val="555555"/>
          <w:sz w:val="20"/>
          <w:szCs w:val="20"/>
        </w:rPr>
        <w:t xml:space="preserve">Note: as discussed in class, a seller who misrepresents or omits information on a disclosure statement can be liable for actual damages, repair costs, and — potentially — the other side's court costs and attorney fees.</w:t>
      </w:r>
    </w:p>
    <w:p>
      <w:pPr>
        <w:pStyle w:val="Heading2"/>
        <w:spacing w:after="120" w:before="240"/>
      </w:pPr>
      <w:r>
        <w:rPr>
          <w:b/>
          <w:bCs/>
          <w:color w:val="B7862C"/>
        </w:rPr>
        <w:t xml:space="preserve">Types of Agency Relationships</w:t>
      </w:r>
    </w:p>
    <w:p>
      <w:pPr>
        <w:pStyle w:val="ListParagraph"/>
        <w:numPr>
          <w:ilvl w:val="0"/>
          <w:numId w:val="2"/>
        </w:numPr>
        <w:spacing w:after="60"/>
      </w:pPr>
      <w:r>
        <w:t xml:space="preserve">Seller agency</w:t>
      </w:r>
    </w:p>
    <w:p>
      <w:pPr>
        <w:pStyle w:val="ListParagraph"/>
        <w:numPr>
          <w:ilvl w:val="0"/>
          <w:numId w:val="2"/>
        </w:numPr>
        <w:spacing w:after="60"/>
      </w:pPr>
      <w:r>
        <w:t xml:space="preserve">Buyer agency</w:t>
      </w:r>
    </w:p>
    <w:p>
      <w:pPr>
        <w:pStyle w:val="ListParagraph"/>
        <w:numPr>
          <w:ilvl w:val="0"/>
          <w:numId w:val="2"/>
        </w:numPr>
        <w:spacing w:after="60"/>
      </w:pPr>
      <w:r>
        <w:t xml:space="preserve">Limited agency</w:t>
      </w:r>
    </w:p>
    <w:p>
      <w:pPr>
        <w:pStyle w:val="ListParagraph"/>
        <w:numPr>
          <w:ilvl w:val="0"/>
          <w:numId w:val="2"/>
        </w:numPr>
        <w:spacing w:after="60"/>
      </w:pPr>
      <w:r>
        <w:t xml:space="preserve">Appointed agent</w:t>
      </w:r>
    </w:p>
    <w:p>
      <w:pPr>
        <w:pStyle w:val="ListParagraph"/>
        <w:numPr>
          <w:ilvl w:val="0"/>
          <w:numId w:val="2"/>
        </w:numPr>
        <w:spacing w:after="60"/>
      </w:pPr>
      <w:r>
        <w:t xml:space="preserve">Transaction broker</w:t>
      </w:r>
    </w:p>
    <w:p>
      <w:pPr>
        <w:pStyle w:val="Heading2"/>
        <w:spacing w:after="120" w:before="240"/>
      </w:pPr>
      <w:r>
        <w:rPr>
          <w:b/>
          <w:bCs/>
          <w:color w:val="B7862C"/>
        </w:rPr>
        <w:t xml:space="preserve">Licensee's Duties Owed to All Parties</w:t>
      </w:r>
    </w:p>
    <w:p>
      <w:pPr>
        <w:spacing w:after="120"/>
      </w:pPr>
      <w:r>
        <w:t xml:space="preserve">Under license law, a real estate licensee shall:</w:t>
      </w:r>
    </w:p>
    <w:p>
      <w:pPr>
        <w:pStyle w:val="ListParagraph"/>
        <w:numPr>
          <w:ilvl w:val="0"/>
          <w:numId w:val="2"/>
        </w:numPr>
        <w:spacing w:after="60"/>
      </w:pPr>
      <w:r>
        <w:t xml:space="preserve">Perform the terms of any written agreement</w:t>
      </w:r>
    </w:p>
    <w:p>
      <w:pPr>
        <w:pStyle w:val="ListParagraph"/>
        <w:numPr>
          <w:ilvl w:val="0"/>
          <w:numId w:val="2"/>
        </w:numPr>
        <w:spacing w:after="60"/>
      </w:pPr>
      <w:r>
        <w:t xml:space="preserve">Exercise reasonable skill and care</w:t>
      </w:r>
    </w:p>
    <w:p>
      <w:pPr>
        <w:pStyle w:val="ListParagraph"/>
        <w:numPr>
          <w:ilvl w:val="0"/>
          <w:numId w:val="2"/>
        </w:numPr>
        <w:spacing w:after="60"/>
      </w:pPr>
      <w:r>
        <w:t xml:space="preserve">Promote the client's interest</w:t>
      </w:r>
    </w:p>
    <w:p>
      <w:pPr>
        <w:pStyle w:val="ListParagraph"/>
        <w:numPr>
          <w:ilvl w:val="0"/>
          <w:numId w:val="2"/>
        </w:numPr>
        <w:spacing w:after="60"/>
      </w:pPr>
      <w:r>
        <w:t xml:space="preserve">Present all written offers in a timely manner</w:t>
      </w:r>
    </w:p>
    <w:p>
      <w:pPr>
        <w:pStyle w:val="ListParagraph"/>
        <w:numPr>
          <w:ilvl w:val="0"/>
          <w:numId w:val="2"/>
        </w:numPr>
        <w:spacing w:after="60"/>
      </w:pPr>
      <w:r>
        <w:t xml:space="preserve">Disclose any adverse material facts known by the licensee</w:t>
      </w:r>
    </w:p>
    <w:p>
      <w:pPr>
        <w:pStyle w:val="ListParagraph"/>
        <w:numPr>
          <w:ilvl w:val="0"/>
          <w:numId w:val="2"/>
        </w:numPr>
        <w:spacing w:after="60"/>
      </w:pPr>
      <w:r>
        <w:t xml:space="preserve">Advise the client to obtain expert advice on material matters beyond the licensee's own expertise</w:t>
      </w:r>
    </w:p>
    <w:p>
      <w:pPr>
        <w:pStyle w:val="ListParagraph"/>
        <w:numPr>
          <w:ilvl w:val="0"/>
          <w:numId w:val="2"/>
        </w:numPr>
        <w:spacing w:after="60"/>
      </w:pPr>
      <w:r>
        <w:t xml:space="preserve">Account in a timely manner for all property and money received</w:t>
      </w:r>
    </w:p>
    <w:p>
      <w:pPr>
        <w:pStyle w:val="ListParagraph"/>
        <w:numPr>
          <w:ilvl w:val="0"/>
          <w:numId w:val="2"/>
        </w:numPr>
        <w:spacing w:after="60"/>
      </w:pPr>
      <w:r>
        <w:t xml:space="preserve">Comply with applicable federal, state, and local laws — including fair housing and civil rights statutes</w:t>
      </w:r>
    </w:p>
    <w:p>
      <w:pPr>
        <w:pStyle w:val="Heading2"/>
        <w:spacing w:after="120" w:before="240"/>
      </w:pPr>
      <w:r>
        <w:rPr>
          <w:b/>
          <w:bCs/>
          <w:color w:val="B7862C"/>
        </w:rPr>
        <w:t xml:space="preserve">Duties Under the REALTOR® Code of Ethics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00"/>
        <w:gridCol w:w="8100"/>
      </w:tblGrid>
      <w:tr>
        <w:trPr>
          <w:tblHeader/>
        </w:trPr>
        <w:tc>
          <w:tcPr>
            <w:tcW w:type="pct" w:w="50%"/>
            <w:shd w:fill="1F3864" w:val="clear"/>
            <w:tcMar>
              <w:top w:type="dxa" w:w="80"/>
              <w:left w:type="dxa" w:w="120"/>
              <w:bottom w:type="dxa" w:w="80"/>
              <w:right w:type="dxa" w:w="120"/>
            </w:tcMar>
          </w:tcPr>
          <w:p>
            <w:r>
              <w:rPr>
                <w:b/>
                <w:bCs/>
                <w:color w:val="FFFFFF"/>
              </w:rPr>
              <w:t xml:space="preserve">Article</w:t>
            </w:r>
          </w:p>
        </w:tc>
        <w:tc>
          <w:tcPr>
            <w:tcW w:type="pct" w:w="50%"/>
            <w:shd w:fill="1F3864" w:val="clear"/>
            <w:tcMar>
              <w:top w:type="dxa" w:w="80"/>
              <w:left w:type="dxa" w:w="120"/>
              <w:bottom w:type="dxa" w:w="80"/>
              <w:right w:type="dxa" w:w="120"/>
            </w:tcMar>
          </w:tcPr>
          <w:p>
            <w:r>
              <w:rPr>
                <w:b/>
                <w:bCs/>
                <w:color w:val="FFFFFF"/>
              </w:rPr>
              <w:t xml:space="preserve">Duty</w:t>
            </w:r>
          </w:p>
        </w:tc>
      </w:tr>
      <w:tr>
        <w:tc>
          <w:tcPr>
            <w:tcW w:type="pct" w:w="50%"/>
            <w:shd w:fill="FFFFFF" w:val="clear"/>
            <w:tcMar>
              <w:top w:type="dxa" w:w="80"/>
              <w:left w:type="dxa" w:w="120"/>
              <w:bottom w:type="dxa" w:w="80"/>
              <w:right w:type="dxa" w:w="120"/>
            </w:tcMar>
          </w:tcPr>
          <w:p>
            <w:r>
              <w:rPr>
                <w:b/>
                <w:bCs/>
              </w:rPr>
              <w:t xml:space="preserve">Article 1</w:t>
            </w:r>
          </w:p>
        </w:tc>
        <w:tc>
          <w:tcPr>
            <w:tcW w:type="pct" w:w="50%"/>
            <w:shd w:fill="FFFFFF" w:val="clear"/>
            <w:tcMar>
              <w:top w:type="dxa" w:w="80"/>
              <w:left w:type="dxa" w:w="120"/>
              <w:bottom w:type="dxa" w:w="80"/>
              <w:right w:type="dxa" w:w="120"/>
            </w:tcMar>
          </w:tcPr>
          <w:p>
            <w:r>
              <w:t xml:space="preserve">Honesty</w:t>
            </w:r>
          </w:p>
        </w:tc>
      </w:tr>
      <w:tr>
        <w:tc>
          <w:tcPr>
            <w:tcW w:type="pct" w:w="50%"/>
            <w:shd w:fill="F2F2F2" w:val="clear"/>
            <w:tcMar>
              <w:top w:type="dxa" w:w="80"/>
              <w:left w:type="dxa" w:w="120"/>
              <w:bottom w:type="dxa" w:w="80"/>
              <w:right w:type="dxa" w:w="120"/>
            </w:tcMar>
          </w:tcPr>
          <w:p>
            <w:r>
              <w:rPr>
                <w:b/>
                <w:bCs/>
              </w:rPr>
              <w:t xml:space="preserve">Article 2</w:t>
            </w:r>
          </w:p>
        </w:tc>
        <w:tc>
          <w:tcPr>
            <w:tcW w:type="pct" w:w="50%"/>
            <w:shd w:fill="F2F2F2" w:val="clear"/>
            <w:tcMar>
              <w:top w:type="dxa" w:w="80"/>
              <w:left w:type="dxa" w:w="120"/>
              <w:bottom w:type="dxa" w:w="80"/>
              <w:right w:type="dxa" w:w="120"/>
            </w:tcMar>
          </w:tcPr>
          <w:p>
            <w:r>
              <w:t xml:space="preserve">Pertinent facts</w:t>
            </w:r>
          </w:p>
        </w:tc>
      </w:tr>
      <w:tr>
        <w:tc>
          <w:tcPr>
            <w:tcW w:type="pct" w:w="50%"/>
            <w:shd w:fill="FFFFFF" w:val="clear"/>
            <w:tcMar>
              <w:top w:type="dxa" w:w="80"/>
              <w:left w:type="dxa" w:w="120"/>
              <w:bottom w:type="dxa" w:w="80"/>
              <w:right w:type="dxa" w:w="120"/>
            </w:tcMar>
          </w:tcPr>
          <w:p>
            <w:r>
              <w:rPr>
                <w:b/>
                <w:bCs/>
              </w:rPr>
              <w:t xml:space="preserve">Article 3</w:t>
            </w:r>
          </w:p>
        </w:tc>
        <w:tc>
          <w:tcPr>
            <w:tcW w:type="pct" w:w="50%"/>
            <w:shd w:fill="FFFFFF" w:val="clear"/>
            <w:tcMar>
              <w:top w:type="dxa" w:w="80"/>
              <w:left w:type="dxa" w:w="120"/>
              <w:bottom w:type="dxa" w:w="80"/>
              <w:right w:type="dxa" w:w="120"/>
            </w:tcMar>
          </w:tcPr>
          <w:p>
            <w:r>
              <w:t xml:space="preserve">Cooperation and compensation</w:t>
            </w:r>
          </w:p>
        </w:tc>
      </w:tr>
      <w:tr>
        <w:tc>
          <w:tcPr>
            <w:tcW w:type="pct" w:w="50%"/>
            <w:shd w:fill="F2F2F2" w:val="clear"/>
            <w:tcMar>
              <w:top w:type="dxa" w:w="80"/>
              <w:left w:type="dxa" w:w="120"/>
              <w:bottom w:type="dxa" w:w="80"/>
              <w:right w:type="dxa" w:w="120"/>
            </w:tcMar>
          </w:tcPr>
          <w:p>
            <w:r>
              <w:rPr>
                <w:b/>
                <w:bCs/>
              </w:rPr>
              <w:t xml:space="preserve">Article 4</w:t>
            </w:r>
          </w:p>
        </w:tc>
        <w:tc>
          <w:tcPr>
            <w:tcW w:type="pct" w:w="50%"/>
            <w:shd w:fill="F2F2F2" w:val="clear"/>
            <w:tcMar>
              <w:top w:type="dxa" w:w="80"/>
              <w:left w:type="dxa" w:w="120"/>
              <w:bottom w:type="dxa" w:w="80"/>
              <w:right w:type="dxa" w:w="120"/>
            </w:tcMar>
          </w:tcPr>
          <w:p>
            <w:r>
              <w:t xml:space="preserve">Personal interest</w:t>
            </w:r>
          </w:p>
        </w:tc>
      </w:tr>
      <w:tr>
        <w:tc>
          <w:tcPr>
            <w:tcW w:type="pct" w:w="50%"/>
            <w:shd w:fill="FFFFFF" w:val="clear"/>
            <w:tcMar>
              <w:top w:type="dxa" w:w="80"/>
              <w:left w:type="dxa" w:w="120"/>
              <w:bottom w:type="dxa" w:w="80"/>
              <w:right w:type="dxa" w:w="120"/>
            </w:tcMar>
          </w:tcPr>
          <w:p>
            <w:r>
              <w:rPr>
                <w:b/>
                <w:bCs/>
              </w:rPr>
              <w:t xml:space="preserve">Article 5</w:t>
            </w:r>
          </w:p>
        </w:tc>
        <w:tc>
          <w:tcPr>
            <w:tcW w:type="pct" w:w="50%"/>
            <w:shd w:fill="FFFFFF" w:val="clear"/>
            <w:tcMar>
              <w:top w:type="dxa" w:w="80"/>
              <w:left w:type="dxa" w:w="120"/>
              <w:bottom w:type="dxa" w:w="80"/>
              <w:right w:type="dxa" w:w="120"/>
            </w:tcMar>
          </w:tcPr>
          <w:p>
            <w:r>
              <w:t xml:space="preserve">Professional services with a contemplated interest</w:t>
            </w:r>
          </w:p>
        </w:tc>
      </w:tr>
      <w:tr>
        <w:tc>
          <w:tcPr>
            <w:tcW w:type="pct" w:w="50%"/>
            <w:shd w:fill="F2F2F2" w:val="clear"/>
            <w:tcMar>
              <w:top w:type="dxa" w:w="80"/>
              <w:left w:type="dxa" w:w="120"/>
              <w:bottom w:type="dxa" w:w="80"/>
              <w:right w:type="dxa" w:w="120"/>
            </w:tcMar>
          </w:tcPr>
          <w:p>
            <w:r>
              <w:rPr>
                <w:b/>
                <w:bCs/>
              </w:rPr>
              <w:t xml:space="preserve">Article 6</w:t>
            </w:r>
          </w:p>
        </w:tc>
        <w:tc>
          <w:tcPr>
            <w:tcW w:type="pct" w:w="50%"/>
            <w:shd w:fill="F2F2F2" w:val="clear"/>
            <w:tcMar>
              <w:top w:type="dxa" w:w="80"/>
              <w:left w:type="dxa" w:w="120"/>
              <w:bottom w:type="dxa" w:w="80"/>
              <w:right w:type="dxa" w:w="120"/>
            </w:tcMar>
          </w:tcPr>
          <w:p>
            <w:r>
              <w:t xml:space="preserve">Rebates</w:t>
            </w:r>
          </w:p>
        </w:tc>
      </w:tr>
      <w:tr>
        <w:tc>
          <w:tcPr>
            <w:tcW w:type="pct" w:w="50%"/>
            <w:shd w:fill="FFFFFF" w:val="clear"/>
            <w:tcMar>
              <w:top w:type="dxa" w:w="80"/>
              <w:left w:type="dxa" w:w="120"/>
              <w:bottom w:type="dxa" w:w="80"/>
              <w:right w:type="dxa" w:w="120"/>
            </w:tcMar>
          </w:tcPr>
          <w:p>
            <w:r>
              <w:rPr>
                <w:b/>
                <w:bCs/>
              </w:rPr>
              <w:t xml:space="preserve">Article 7</w:t>
            </w:r>
          </w:p>
        </w:tc>
        <w:tc>
          <w:tcPr>
            <w:tcW w:type="pct" w:w="50%"/>
            <w:shd w:fill="FFFFFF" w:val="clear"/>
            <w:tcMar>
              <w:top w:type="dxa" w:w="80"/>
              <w:left w:type="dxa" w:w="120"/>
              <w:bottom w:type="dxa" w:w="80"/>
              <w:right w:type="dxa" w:w="120"/>
            </w:tcMar>
          </w:tcPr>
          <w:p>
            <w:r>
              <w:t xml:space="preserve">Compensation from both parties requires approval of both</w:t>
            </w:r>
          </w:p>
        </w:tc>
      </w:tr>
      <w:tr>
        <w:tc>
          <w:tcPr>
            <w:tcW w:type="pct" w:w="50%"/>
            <w:shd w:fill="F2F2F2" w:val="clear"/>
            <w:tcMar>
              <w:top w:type="dxa" w:w="80"/>
              <w:left w:type="dxa" w:w="120"/>
              <w:bottom w:type="dxa" w:w="80"/>
              <w:right w:type="dxa" w:w="120"/>
            </w:tcMar>
          </w:tcPr>
          <w:p>
            <w:r>
              <w:rPr>
                <w:b/>
                <w:bCs/>
              </w:rPr>
              <w:t xml:space="preserve">Article 8</w:t>
            </w:r>
          </w:p>
        </w:tc>
        <w:tc>
          <w:tcPr>
            <w:tcW w:type="pct" w:w="50%"/>
            <w:shd w:fill="F2F2F2" w:val="clear"/>
            <w:tcMar>
              <w:top w:type="dxa" w:w="80"/>
              <w:left w:type="dxa" w:w="120"/>
              <w:bottom w:type="dxa" w:w="80"/>
              <w:right w:type="dxa" w:w="120"/>
            </w:tcMar>
          </w:tcPr>
          <w:p>
            <w:r>
              <w:t xml:space="preserve">Escrow</w:t>
            </w:r>
          </w:p>
        </w:tc>
      </w:tr>
      <w:tr>
        <w:tc>
          <w:tcPr>
            <w:tcW w:type="pct" w:w="50%"/>
            <w:shd w:fill="FFFFFF" w:val="clear"/>
            <w:tcMar>
              <w:top w:type="dxa" w:w="80"/>
              <w:left w:type="dxa" w:w="120"/>
              <w:bottom w:type="dxa" w:w="80"/>
              <w:right w:type="dxa" w:w="120"/>
            </w:tcMar>
          </w:tcPr>
          <w:p>
            <w:r>
              <w:rPr>
                <w:b/>
                <w:bCs/>
              </w:rPr>
              <w:t xml:space="preserve">Article 9</w:t>
            </w:r>
          </w:p>
        </w:tc>
        <w:tc>
          <w:tcPr>
            <w:tcW w:type="pct" w:w="50%"/>
            <w:shd w:fill="FFFFFF" w:val="clear"/>
            <w:tcMar>
              <w:top w:type="dxa" w:w="80"/>
              <w:left w:type="dxa" w:w="120"/>
              <w:bottom w:type="dxa" w:w="80"/>
              <w:right w:type="dxa" w:w="120"/>
            </w:tcMar>
          </w:tcPr>
          <w:p>
            <w:r>
              <w:t xml:space="preserve">Put it in writing</w:t>
            </w:r>
          </w:p>
        </w:tc>
      </w:tr>
      <w:tr>
        <w:tc>
          <w:tcPr>
            <w:tcW w:type="pct" w:w="50%"/>
            <w:shd w:fill="F2F2F2" w:val="clear"/>
            <w:tcMar>
              <w:top w:type="dxa" w:w="80"/>
              <w:left w:type="dxa" w:w="120"/>
              <w:bottom w:type="dxa" w:w="80"/>
              <w:right w:type="dxa" w:w="120"/>
            </w:tcMar>
          </w:tcPr>
          <w:p>
            <w:r>
              <w:rPr>
                <w:b/>
                <w:bCs/>
              </w:rPr>
              <w:t xml:space="preserve">Article 10</w:t>
            </w:r>
          </w:p>
        </w:tc>
        <w:tc>
          <w:tcPr>
            <w:tcW w:type="pct" w:w="50%"/>
            <w:shd w:fill="F2F2F2" w:val="clear"/>
            <w:tcMar>
              <w:top w:type="dxa" w:w="80"/>
              <w:left w:type="dxa" w:w="120"/>
              <w:bottom w:type="dxa" w:w="80"/>
              <w:right w:type="dxa" w:w="120"/>
            </w:tcMar>
          </w:tcPr>
          <w:p>
            <w:r>
              <w:t xml:space="preserve">Don't discriminate</w:t>
            </w:r>
          </w:p>
        </w:tc>
      </w:tr>
      <w:tr>
        <w:tc>
          <w:tcPr>
            <w:tcW w:type="pct" w:w="50%"/>
            <w:shd w:fill="FFFFFF" w:val="clear"/>
            <w:tcMar>
              <w:top w:type="dxa" w:w="80"/>
              <w:left w:type="dxa" w:w="120"/>
              <w:bottom w:type="dxa" w:w="80"/>
              <w:right w:type="dxa" w:w="120"/>
            </w:tcMar>
          </w:tcPr>
          <w:p>
            <w:r>
              <w:rPr>
                <w:b/>
                <w:bCs/>
              </w:rPr>
              <w:t xml:space="preserve">Article 11</w:t>
            </w:r>
          </w:p>
        </w:tc>
        <w:tc>
          <w:tcPr>
            <w:tcW w:type="pct" w:w="50%"/>
            <w:shd w:fill="FFFFFF" w:val="clear"/>
            <w:tcMar>
              <w:top w:type="dxa" w:w="80"/>
              <w:left w:type="dxa" w:w="120"/>
              <w:bottom w:type="dxa" w:w="80"/>
              <w:right w:type="dxa" w:w="120"/>
            </w:tcMar>
          </w:tcPr>
          <w:p>
            <w:r>
              <w:t xml:space="preserve">Competency</w:t>
            </w:r>
          </w:p>
        </w:tc>
      </w:tr>
      <w:tr>
        <w:tc>
          <w:tcPr>
            <w:tcW w:type="pct" w:w="50%"/>
            <w:shd w:fill="F2F2F2" w:val="clear"/>
            <w:tcMar>
              <w:top w:type="dxa" w:w="80"/>
              <w:left w:type="dxa" w:w="120"/>
              <w:bottom w:type="dxa" w:w="80"/>
              <w:right w:type="dxa" w:w="120"/>
            </w:tcMar>
          </w:tcPr>
          <w:p>
            <w:r>
              <w:rPr>
                <w:b/>
                <w:bCs/>
              </w:rPr>
              <w:t xml:space="preserve">Article 12</w:t>
            </w:r>
          </w:p>
        </w:tc>
        <w:tc>
          <w:tcPr>
            <w:tcW w:type="pct" w:w="50%"/>
            <w:shd w:fill="F2F2F2" w:val="clear"/>
            <w:tcMar>
              <w:top w:type="dxa" w:w="80"/>
              <w:left w:type="dxa" w:w="120"/>
              <w:bottom w:type="dxa" w:w="80"/>
              <w:right w:type="dxa" w:w="120"/>
            </w:tcMar>
          </w:tcPr>
          <w:p>
            <w:r>
              <w:t xml:space="preserve">True picture in advertising</w:t>
            </w:r>
          </w:p>
        </w:tc>
      </w:tr>
      <w:tr>
        <w:tc>
          <w:tcPr>
            <w:tcW w:type="pct" w:w="50%"/>
            <w:shd w:fill="FFFFFF" w:val="clear"/>
            <w:tcMar>
              <w:top w:type="dxa" w:w="80"/>
              <w:left w:type="dxa" w:w="120"/>
              <w:bottom w:type="dxa" w:w="80"/>
              <w:right w:type="dxa" w:w="120"/>
            </w:tcMar>
          </w:tcPr>
          <w:p>
            <w:r>
              <w:rPr>
                <w:b/>
                <w:bCs/>
              </w:rPr>
              <w:t xml:space="preserve">Article 13</w:t>
            </w:r>
          </w:p>
        </w:tc>
        <w:tc>
          <w:tcPr>
            <w:tcW w:type="pct" w:w="50%"/>
            <w:shd w:fill="FFFFFF" w:val="clear"/>
            <w:tcMar>
              <w:top w:type="dxa" w:w="80"/>
              <w:left w:type="dxa" w:w="120"/>
              <w:bottom w:type="dxa" w:w="80"/>
              <w:right w:type="dxa" w:w="120"/>
            </w:tcMar>
          </w:tcPr>
          <w:p>
            <w:r>
              <w:t xml:space="preserve">Don't practice law</w:t>
            </w:r>
          </w:p>
        </w:tc>
      </w:tr>
      <w:tr>
        <w:tc>
          <w:tcPr>
            <w:tcW w:type="pct" w:w="50%"/>
            <w:shd w:fill="F2F2F2" w:val="clear"/>
            <w:tcMar>
              <w:top w:type="dxa" w:w="80"/>
              <w:left w:type="dxa" w:w="120"/>
              <w:bottom w:type="dxa" w:w="80"/>
              <w:right w:type="dxa" w:w="120"/>
            </w:tcMar>
          </w:tcPr>
          <w:p>
            <w:r>
              <w:rPr>
                <w:b/>
                <w:bCs/>
              </w:rPr>
              <w:t xml:space="preserve">Article 14</w:t>
            </w:r>
          </w:p>
        </w:tc>
        <w:tc>
          <w:tcPr>
            <w:tcW w:type="pct" w:w="50%"/>
            <w:shd w:fill="F2F2F2" w:val="clear"/>
            <w:tcMar>
              <w:top w:type="dxa" w:w="80"/>
              <w:left w:type="dxa" w:w="120"/>
              <w:bottom w:type="dxa" w:w="80"/>
              <w:right w:type="dxa" w:w="120"/>
            </w:tcMar>
          </w:tcPr>
          <w:p>
            <w:r>
              <w:t xml:space="preserve">Cooperate with the Board in professional standards hearings</w:t>
            </w:r>
          </w:p>
        </w:tc>
      </w:tr>
      <w:tr>
        <w:tc>
          <w:tcPr>
            <w:tcW w:type="pct" w:w="50%"/>
            <w:shd w:fill="FFFFFF" w:val="clear"/>
            <w:tcMar>
              <w:top w:type="dxa" w:w="80"/>
              <w:left w:type="dxa" w:w="120"/>
              <w:bottom w:type="dxa" w:w="80"/>
              <w:right w:type="dxa" w:w="120"/>
            </w:tcMar>
          </w:tcPr>
          <w:p>
            <w:r>
              <w:rPr>
                <w:b/>
                <w:bCs/>
              </w:rPr>
              <w:t xml:space="preserve">Article 15</w:t>
            </w:r>
          </w:p>
        </w:tc>
        <w:tc>
          <w:tcPr>
            <w:tcW w:type="pct" w:w="50%"/>
            <w:shd w:fill="FFFFFF" w:val="clear"/>
            <w:tcMar>
              <w:top w:type="dxa" w:w="80"/>
              <w:left w:type="dxa" w:w="120"/>
              <w:bottom w:type="dxa" w:w="80"/>
              <w:right w:type="dxa" w:w="120"/>
            </w:tcMar>
          </w:tcPr>
          <w:p>
            <w:r>
              <w:t xml:space="preserve">Don't lie about your competitors</w:t>
            </w:r>
          </w:p>
        </w:tc>
      </w:tr>
      <w:tr>
        <w:tc>
          <w:tcPr>
            <w:tcW w:type="pct" w:w="50%"/>
            <w:shd w:fill="F2F2F2" w:val="clear"/>
            <w:tcMar>
              <w:top w:type="dxa" w:w="80"/>
              <w:left w:type="dxa" w:w="120"/>
              <w:bottom w:type="dxa" w:w="80"/>
              <w:right w:type="dxa" w:w="120"/>
            </w:tcMar>
          </w:tcPr>
          <w:p>
            <w:r>
              <w:rPr>
                <w:b/>
                <w:bCs/>
              </w:rPr>
              <w:t xml:space="preserve">Article 16</w:t>
            </w:r>
          </w:p>
        </w:tc>
        <w:tc>
          <w:tcPr>
            <w:tcW w:type="pct" w:w="50%"/>
            <w:shd w:fill="F2F2F2" w:val="clear"/>
            <w:tcMar>
              <w:top w:type="dxa" w:w="80"/>
              <w:left w:type="dxa" w:w="120"/>
              <w:bottom w:type="dxa" w:w="80"/>
              <w:right w:type="dxa" w:w="120"/>
            </w:tcMar>
          </w:tcPr>
          <w:p>
            <w:r>
              <w:t xml:space="preserve">Compete, but play by the rules</w:t>
            </w:r>
          </w:p>
        </w:tc>
      </w:tr>
      <w:tr>
        <w:tc>
          <w:tcPr>
            <w:tcW w:type="pct" w:w="50%"/>
            <w:shd w:fill="FFFFFF" w:val="clear"/>
            <w:tcMar>
              <w:top w:type="dxa" w:w="80"/>
              <w:left w:type="dxa" w:w="120"/>
              <w:bottom w:type="dxa" w:w="80"/>
              <w:right w:type="dxa" w:w="120"/>
            </w:tcMar>
          </w:tcPr>
          <w:p>
            <w:r>
              <w:rPr>
                <w:b/>
                <w:bCs/>
              </w:rPr>
              <w:t xml:space="preserve">Article 17</w:t>
            </w:r>
          </w:p>
        </w:tc>
        <w:tc>
          <w:tcPr>
            <w:tcW w:type="pct" w:w="50%"/>
            <w:shd w:fill="FFFFFF" w:val="clear"/>
            <w:tcMar>
              <w:top w:type="dxa" w:w="80"/>
              <w:left w:type="dxa" w:w="120"/>
              <w:bottom w:type="dxa" w:w="80"/>
              <w:right w:type="dxa" w:w="120"/>
            </w:tcMar>
          </w:tcPr>
          <w:p>
            <w:r>
              <w:t xml:space="preserve">Mediation or arbitration of commission disputes</w:t>
            </w:r>
          </w:p>
        </w:tc>
      </w:tr>
    </w:tbl>
    <w:p>
      <w:r>
        <w:br w:type="page"/>
      </w:r>
    </w:p>
    <w:p>
      <w:pPr>
        <w:pStyle w:val="Heading1"/>
        <w:pBdr>
          <w:bottom w:val="single" w:color="1F3864" w:sz="8" w:space="4"/>
        </w:pBdr>
        <w:spacing w:after="160" w:before="320"/>
      </w:pPr>
      <w:r>
        <w:rPr>
          <w:b/>
          <w:bCs/>
          <w:color w:val="1F3864"/>
        </w:rPr>
        <w:t xml:space="preserve">4. Pricing: Appraisals, BPOs &amp; CMAs</w:t>
      </w:r>
    </w:p>
    <w:p>
      <w:pPr>
        <w:pStyle w:val="ListParagraph"/>
        <w:numPr>
          <w:ilvl w:val="0"/>
          <w:numId w:val="2"/>
        </w:numPr>
        <w:spacing w:after="60"/>
      </w:pPr>
      <w:r>
        <w:t xml:space="preserve">Appraisers perform appraisals (governed by FIRREA)</w:t>
      </w:r>
    </w:p>
    <w:p>
      <w:pPr>
        <w:pStyle w:val="ListParagraph"/>
        <w:numPr>
          <w:ilvl w:val="0"/>
          <w:numId w:val="2"/>
        </w:numPr>
        <w:spacing w:after="60"/>
      </w:pPr>
      <w:r>
        <w:t xml:space="preserve">Agents may perform BPOs (Broker Price Opinions) or CMAs (Comparative Market Analyses)</w:t>
      </w:r>
    </w:p>
    <w:p>
      <w:pPr>
        <w:spacing w:after="160"/>
      </w:pPr>
      <w:r>
        <w:rPr>
          <w:i/>
          <w:iCs/>
          <w:color w:val="555555"/>
          <w:sz w:val="20"/>
          <w:szCs w:val="20"/>
        </w:rPr>
        <w:t xml:space="preserve">Discussion: what is one of the top three things sellers want from an agent, per the NAR Home Buyer and Home Seller Survey?</w:t>
      </w:r>
    </w:p>
    <w:p>
      <w:pPr>
        <w:pBdr>
          <w:bottom w:val="single" w:color="999999" w:sz="4" w:space="1"/>
        </w:pBdr>
        <w:spacing w:after="200"/>
      </w:pPr>
      <w:r>
        <w:t xml:space="preserve"> </w:t>
      </w:r>
    </w:p>
    <w:p>
      <w:pPr>
        <w:spacing w:after="120"/>
      </w:pPr>
      <w:r>
        <w:t xml:space="preserve">Overlisted — consequences to discuss in class (remember: carrying costs run roughly 1% of value per month):</w:t>
      </w:r>
    </w:p>
    <w:p>
      <w:pPr>
        <w:pBdr>
          <w:bottom w:val="single" w:color="999999" w:sz="4" w:space="1"/>
        </w:pBdr>
        <w:spacing w:after="200"/>
      </w:pPr>
      <w:r>
        <w:t xml:space="preserve"> </w:t>
      </w:r>
    </w:p>
    <w:p>
      <w:pPr>
        <w:spacing w:after="120"/>
      </w:pPr>
      <w:r>
        <w:t xml:space="preserve">Underlisted — consequences to discuss in class:</w:t>
      </w:r>
    </w:p>
    <w:p>
      <w:pPr>
        <w:pBdr>
          <w:bottom w:val="single" w:color="999999" w:sz="4" w:space="1"/>
        </w:pBdr>
        <w:spacing w:after="200"/>
      </w:pPr>
      <w:r>
        <w:t xml:space="preserve"> </w:t>
      </w:r>
    </w:p>
    <w:p>
      <w:pPr>
        <w:pStyle w:val="Heading2"/>
        <w:spacing w:after="120" w:before="240"/>
      </w:pPr>
      <w:r>
        <w:rPr>
          <w:b/>
          <w:bCs/>
          <w:color w:val="B7862C"/>
        </w:rPr>
        <w:t xml:space="preserve">Pricing Homes Properly</w:t>
      </w:r>
    </w:p>
    <w:p>
      <w:pPr>
        <w:pStyle w:val="ListParagraph"/>
        <w:numPr>
          <w:ilvl w:val="0"/>
          <w:numId w:val="2"/>
        </w:numPr>
        <w:spacing w:after="60"/>
      </w:pPr>
      <w:r>
        <w:t xml:space="preserve">Know the market:</w:t>
      </w:r>
    </w:p>
    <w:p>
      <w:pPr>
        <w:pStyle w:val="ListParagraph"/>
        <w:numPr>
          <w:ilvl w:val="1"/>
          <w:numId w:val="2"/>
        </w:numPr>
        <w:spacing w:after="60"/>
      </w:pPr>
      <w:r>
        <w:t xml:space="preserve">Use the right comparables</w:t>
      </w:r>
    </w:p>
    <w:p>
      <w:pPr>
        <w:pStyle w:val="ListParagraph"/>
        <w:numPr>
          <w:ilvl w:val="1"/>
          <w:numId w:val="2"/>
        </w:numPr>
        <w:spacing w:after="60"/>
      </w:pPr>
      <w:r>
        <w:t xml:space="preserve">Geographic competency applies to agents too</w:t>
      </w:r>
    </w:p>
    <w:p>
      <w:pPr>
        <w:pStyle w:val="ListParagraph"/>
        <w:numPr>
          <w:ilvl w:val="1"/>
          <w:numId w:val="2"/>
        </w:numPr>
        <w:spacing w:after="60"/>
      </w:pPr>
      <w:r>
        <w:t xml:space="preserve">Calculate the absorption rate for that type of property</w:t>
      </w:r>
    </w:p>
    <w:p>
      <w:pPr>
        <w:pStyle w:val="ListParagraph"/>
        <w:numPr>
          <w:ilvl w:val="1"/>
          <w:numId w:val="2"/>
        </w:numPr>
        <w:spacing w:after="60"/>
      </w:pPr>
      <w:r>
        <w:t xml:space="preserve">List price / sales price ratio</w:t>
      </w:r>
    </w:p>
    <w:p>
      <w:pPr>
        <w:pStyle w:val="ListParagraph"/>
        <w:numPr>
          <w:ilvl w:val="1"/>
          <w:numId w:val="2"/>
        </w:numPr>
        <w:spacing w:after="60"/>
      </w:pPr>
      <w:r>
        <w:t xml:space="preserve">Days on market</w:t>
      </w:r>
    </w:p>
    <w:p>
      <w:pPr>
        <w:pStyle w:val="ListParagraph"/>
        <w:numPr>
          <w:ilvl w:val="1"/>
          <w:numId w:val="2"/>
        </w:numPr>
        <w:spacing w:after="60"/>
      </w:pPr>
      <w:r>
        <w:t xml:space="preserve">Competing listings</w:t>
      </w:r>
    </w:p>
    <w:p>
      <w:pPr>
        <w:pStyle w:val="ListParagraph"/>
        <w:numPr>
          <w:ilvl w:val="0"/>
          <w:numId w:val="2"/>
        </w:numPr>
        <w:spacing w:after="60"/>
      </w:pPr>
      <w:r>
        <w:t xml:space="preserve">Understand economic forces:</w:t>
      </w:r>
    </w:p>
    <w:p>
      <w:pPr>
        <w:pStyle w:val="ListParagraph"/>
        <w:numPr>
          <w:ilvl w:val="1"/>
          <w:numId w:val="2"/>
        </w:numPr>
        <w:spacing w:after="60"/>
      </w:pPr>
      <w:r>
        <w:t xml:space="preserve">Supply and demand</w:t>
      </w:r>
    </w:p>
    <w:p>
      <w:pPr>
        <w:pStyle w:val="ListParagraph"/>
        <w:numPr>
          <w:ilvl w:val="1"/>
          <w:numId w:val="2"/>
        </w:numPr>
        <w:spacing w:after="60"/>
      </w:pPr>
      <w:r>
        <w:t xml:space="preserve">Interest rates</w:t>
      </w:r>
    </w:p>
    <w:p>
      <w:pPr>
        <w:pStyle w:val="ListParagraph"/>
        <w:numPr>
          <w:ilvl w:val="1"/>
          <w:numId w:val="2"/>
        </w:numPr>
        <w:spacing w:after="60"/>
      </w:pPr>
      <w:r>
        <w:t xml:space="preserve">Unemployment</w:t>
      </w:r>
    </w:p>
    <w:p>
      <w:pPr>
        <w:pStyle w:val="ListParagraph"/>
        <w:numPr>
          <w:ilvl w:val="1"/>
          <w:numId w:val="2"/>
        </w:numPr>
        <w:spacing w:after="60"/>
      </w:pPr>
      <w:r>
        <w:t xml:space="preserve">Money supply</w:t>
      </w:r>
    </w:p>
    <w:p>
      <w:pPr>
        <w:pStyle w:val="ListParagraph"/>
        <w:numPr>
          <w:ilvl w:val="0"/>
          <w:numId w:val="2"/>
        </w:numPr>
        <w:spacing w:after="60"/>
      </w:pPr>
      <w:r>
        <w:t xml:space="preserve">If you don't know — ask, or suggest an appraisal</w:t>
      </w:r>
    </w:p>
    <w:p>
      <w:pPr>
        <w:pStyle w:val="Heading1"/>
        <w:pBdr>
          <w:bottom w:val="single" w:color="1F3864" w:sz="8" w:space="4"/>
        </w:pBdr>
        <w:spacing w:after="160" w:before="320"/>
      </w:pPr>
      <w:r>
        <w:rPr>
          <w:b/>
          <w:bCs/>
          <w:color w:val="1F3864"/>
        </w:rPr>
        <w:t xml:space="preserve">5. Fair Housing: You Can't Say/Do That!</w:t>
      </w:r>
    </w:p>
    <w:p>
      <w:pPr>
        <w:spacing w:after="160"/>
      </w:pPr>
      <w:r>
        <w:rPr>
          <w:i/>
          <w:iCs/>
          <w:color w:val="555555"/>
          <w:sz w:val="20"/>
          <w:szCs w:val="20"/>
        </w:rPr>
        <w:t xml:space="preserve">Mark each item “A” (acceptable) or “U” (unacceptable) with respect to fair housing.</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8500"/>
        <w:gridCol w:w="1600"/>
      </w:tblGrid>
      <w:tr>
        <w:trPr>
          <w:tblHeader/>
        </w:trPr>
        <w:tc>
          <w:tcPr>
            <w:tcW w:type="pct" w:w="50%"/>
            <w:shd w:fill="1F3864" w:val="clear"/>
            <w:tcMar>
              <w:top w:type="dxa" w:w="80"/>
              <w:left w:type="dxa" w:w="120"/>
              <w:bottom w:type="dxa" w:w="80"/>
              <w:right w:type="dxa" w:w="120"/>
            </w:tcMar>
          </w:tcPr>
          <w:p>
            <w:r>
              <w:rPr>
                <w:b/>
                <w:bCs/>
                <w:color w:val="FFFFFF"/>
              </w:rPr>
              <w:t xml:space="preserve">Situation</w:t>
            </w:r>
          </w:p>
        </w:tc>
        <w:tc>
          <w:tcPr>
            <w:tcW w:type="pct" w:w="50%"/>
            <w:shd w:fill="1F3864" w:val="clear"/>
            <w:tcMar>
              <w:top w:type="dxa" w:w="80"/>
              <w:left w:type="dxa" w:w="120"/>
              <w:bottom w:type="dxa" w:w="80"/>
              <w:right w:type="dxa" w:w="120"/>
            </w:tcMar>
          </w:tcPr>
          <w:p>
            <w:r>
              <w:rPr>
                <w:b/>
                <w:bCs/>
                <w:color w:val="FFFFFF"/>
              </w:rPr>
              <w:t xml:space="preserve">A / U</w:t>
            </w:r>
          </w:p>
        </w:tc>
      </w:tr>
      <w:tr>
        <w:tc>
          <w:tcPr>
            <w:tcW w:type="pct" w:w="100%"/>
            <w:shd w:fill="FFFFFF" w:val="clear"/>
            <w:tcMar>
              <w:top w:type="dxa" w:w="100"/>
              <w:left w:type="dxa" w:w="120"/>
              <w:bottom w:type="dxa" w:w="100"/>
              <w:right w:type="dxa" w:w="120"/>
            </w:tcMar>
          </w:tcPr>
          <w:p>
            <w:r>
              <w:t xml:space="preserve">1. An eight-story building with an elevator has vacancies on floors 1, 5, and 8. A prospective tenant who uses a wheelchair inquires; you tell her only about the first-floor unit.</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2. Showing a deck-heavy house to a family with young children, you say: “You know I wouldn't sleep at night if I sold you this house; I'd be so afraid of those children falling off the deck.”</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3. A client circles the walkable area around his synagogue on a map and asks to see homes only within that circle.</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4. A relocating client says he wants to “live near people like us” and not “diversity”; you respond with census data assuring him minorities are virtually non-existent in a particular neighborhood.</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5. You advertise a small one-bedroom near downtown nightlife as: “Perfect for that single professional!”</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6. You advertise a six-bedroom, five-bath house with a four-car garage as: “Perfect for the large, growing family — room for you and all the toys!”</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7. You speak Russian fluently and advertise your listings in Russian.</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8. You advertise a home built for accessibility as: “Wheelchair ramps, extra wide halls, lowered light switches, lowered countertops — a very accessible home.”</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9. Your owner doesn't want student tenants, so your rental ad near the university reads: “Near the University, but not student housing.”</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10. A friend renting a room in her own home (sharing bath, kitchen, living areas) wants to advertise: “Female non-smoker wanted to share house.”</w:t>
            </w:r>
          </w:p>
        </w:tc>
        <w:tc>
          <w:tcPr>
            <w:tcW w:type="pct" w:w="100%"/>
            <w:shd w:fill="FFFFFF" w:val="clear"/>
            <w:tcMar>
              <w:top w:type="dxa" w:w="100"/>
              <w:left w:type="dxa" w:w="120"/>
              <w:bottom w:type="dxa" w:w="100"/>
              <w:right w:type="dxa" w:w="120"/>
            </w:tcMar>
          </w:tcPr>
          <w:p>
            <w:r>
              <w:t xml:space="preserve"> </w:t>
            </w:r>
          </w:p>
        </w:tc>
      </w:tr>
      <w:tr>
        <w:tc>
          <w:tcPr>
            <w:tcW w:type="pct" w:w="100%"/>
            <w:shd w:fill="FFFFFF" w:val="clear"/>
            <w:tcMar>
              <w:top w:type="dxa" w:w="100"/>
              <w:left w:type="dxa" w:w="120"/>
              <w:bottom w:type="dxa" w:w="100"/>
              <w:right w:type="dxa" w:w="120"/>
            </w:tcMar>
          </w:tcPr>
          <w:p>
            <w:r>
              <w:t xml:space="preserve">11. You see an ad for a new community that is “age restricted.”</w:t>
            </w:r>
          </w:p>
        </w:tc>
        <w:tc>
          <w:tcPr>
            <w:tcW w:type="pct" w:w="100%"/>
            <w:shd w:fill="FFFFFF" w:val="clear"/>
            <w:tcMar>
              <w:top w:type="dxa" w:w="100"/>
              <w:left w:type="dxa" w:w="120"/>
              <w:bottom w:type="dxa" w:w="100"/>
              <w:right w:type="dxa" w:w="120"/>
            </w:tcMar>
          </w:tcPr>
          <w:p>
            <w:r>
              <w:t xml:space="preserve"> </w:t>
            </w:r>
          </w:p>
        </w:tc>
      </w:tr>
    </w:tbl>
    <w:p>
      <w:pPr>
        <w:spacing w:after="120"/>
      </w:pPr>
      <w:r>
        <w:t xml:space="preserve"> </w:t>
      </w:r>
    </w:p>
    <w:p>
      <w:pPr>
        <w:spacing w:after="120"/>
      </w:pPr>
      <w:r>
        <w:t xml:space="preserve">Federal protected classes:</w:t>
      </w:r>
    </w:p>
    <w:p>
      <w:pPr>
        <w:pBdr>
          <w:bottom w:val="single" w:color="999999" w:sz="4" w:space="1"/>
        </w:pBdr>
        <w:spacing w:after="200"/>
      </w:pPr>
      <w:r>
        <w:t xml:space="preserve"> </w:t>
      </w:r>
    </w:p>
    <w:p>
      <w:pPr>
        <w:pBdr>
          <w:bottom w:val="single" w:color="999999" w:sz="4" w:space="1"/>
        </w:pBdr>
        <w:spacing w:after="200"/>
      </w:pPr>
      <w:r>
        <w:t xml:space="preserve"> </w:t>
      </w:r>
    </w:p>
    <w:p>
      <w:pPr>
        <w:spacing w:after="120"/>
      </w:pPr>
      <w:r>
        <w:t xml:space="preserve">State protected classes:</w:t>
      </w:r>
    </w:p>
    <w:p>
      <w:pPr>
        <w:pBdr>
          <w:bottom w:val="single" w:color="999999" w:sz="4" w:space="1"/>
        </w:pBdr>
        <w:spacing w:after="200"/>
      </w:pPr>
      <w:r>
        <w:t xml:space="preserve"> </w:t>
      </w:r>
    </w:p>
    <w:p>
      <w:pPr>
        <w:pBdr>
          <w:bottom w:val="single" w:color="999999" w:sz="4" w:space="1"/>
        </w:pBdr>
        <w:spacing w:after="200"/>
      </w:pPr>
      <w:r>
        <w:t xml:space="preserve"> </w:t>
      </w:r>
    </w:p>
    <w:p>
      <w:pPr>
        <w:pStyle w:val="Heading2"/>
        <w:spacing w:after="120" w:before="240"/>
      </w:pPr>
      <w:r>
        <w:rPr>
          <w:b/>
          <w:bCs/>
          <w:color w:val="B7862C"/>
        </w:rPr>
        <w:t xml:space="preserve">How Agents Get in Trouble with Fair Housing</w:t>
      </w:r>
    </w:p>
    <w:p>
      <w:pPr>
        <w:pStyle w:val="ListParagraph"/>
        <w:numPr>
          <w:ilvl w:val="0"/>
          <w:numId w:val="2"/>
        </w:numPr>
        <w:spacing w:after="60"/>
      </w:pPr>
      <w:r>
        <w:t xml:space="preserve">Steering</w:t>
      </w:r>
    </w:p>
    <w:p>
      <w:pPr>
        <w:pStyle w:val="ListParagraph"/>
        <w:numPr>
          <w:ilvl w:val="0"/>
          <w:numId w:val="2"/>
        </w:numPr>
        <w:spacing w:after="60"/>
      </w:pPr>
      <w:r>
        <w:t xml:space="preserve">Advertising</w:t>
      </w:r>
    </w:p>
    <w:p>
      <w:pPr>
        <w:pStyle w:val="ListParagraph"/>
        <w:numPr>
          <w:ilvl w:val="0"/>
          <w:numId w:val="2"/>
        </w:numPr>
        <w:spacing w:after="60"/>
      </w:pPr>
      <w:r>
        <w:t xml:space="preserve">Being “helpful”</w:t>
      </w:r>
    </w:p>
    <w:p>
      <w:pPr>
        <w:spacing w:after="120"/>
      </w:pPr>
      <w:r>
        <w:t xml:space="preserve">Watch for “disparate impact” — policies that are neutral on their face but fall more heavily on a protected class. Recent cases nationally have involved:</w:t>
      </w:r>
    </w:p>
    <w:p>
      <w:pPr>
        <w:pStyle w:val="ListParagraph"/>
        <w:numPr>
          <w:ilvl w:val="0"/>
          <w:numId w:val="2"/>
        </w:numPr>
        <w:spacing w:after="60"/>
      </w:pPr>
      <w:r>
        <w:t xml:space="preserve">Denying a rental unit to a person who uses a guide dog</w:t>
      </w:r>
    </w:p>
    <w:p>
      <w:pPr>
        <w:pStyle w:val="ListParagraph"/>
        <w:numPr>
          <w:ilvl w:val="0"/>
          <w:numId w:val="2"/>
        </w:numPr>
        <w:spacing w:after="60"/>
      </w:pPr>
      <w:r>
        <w:t xml:space="preserve">Advertising a two-bedroom apartment as being for only two adults</w:t>
      </w:r>
    </w:p>
    <w:p>
      <w:pPr>
        <w:pStyle w:val="ListParagraph"/>
        <w:numPr>
          <w:ilvl w:val="0"/>
          <w:numId w:val="2"/>
        </w:numPr>
        <w:spacing w:after="60"/>
      </w:pPr>
      <w:r>
        <w:t xml:space="preserve">Refusing to rent to families with children at all</w:t>
      </w:r>
    </w:p>
    <w:p>
      <w:pPr>
        <w:pStyle w:val="ListParagraph"/>
        <w:numPr>
          <w:ilvl w:val="0"/>
          <w:numId w:val="2"/>
        </w:numPr>
        <w:spacing w:after="60"/>
      </w:pPr>
      <w:r>
        <w:t xml:space="preserve">Refusing to rent to families with children because of “high decks” or “steep stairs”</w:t>
      </w:r>
    </w:p>
    <w:p>
      <w:r>
        <w:br w:type="page"/>
      </w:r>
    </w:p>
    <w:p>
      <w:pPr>
        <w:pStyle w:val="Heading1"/>
        <w:pBdr>
          <w:bottom w:val="single" w:color="1F3864" w:sz="8" w:space="4"/>
        </w:pBdr>
        <w:spacing w:after="160" w:before="320"/>
      </w:pPr>
      <w:r>
        <w:rPr>
          <w:b/>
          <w:bCs/>
          <w:color w:val="1F3864"/>
        </w:rPr>
        <w:t xml:space="preserve">6. Escrow: Biggest Issues</w:t>
      </w:r>
    </w:p>
    <w:p>
      <w:pPr>
        <w:pStyle w:val="ListParagraph"/>
        <w:numPr>
          <w:ilvl w:val="0"/>
          <w:numId w:val="2"/>
        </w:numPr>
        <w:spacing w:after="60"/>
      </w:pPr>
      <w:r>
        <w:t xml:space="preserve">Commingling</w:t>
      </w:r>
    </w:p>
    <w:p>
      <w:pPr>
        <w:pStyle w:val="ListParagraph"/>
        <w:numPr>
          <w:ilvl w:val="0"/>
          <w:numId w:val="2"/>
        </w:numPr>
        <w:spacing w:after="60"/>
      </w:pPr>
      <w:r>
        <w:t xml:space="preserve">Failure to deposit</w:t>
      </w:r>
    </w:p>
    <w:p>
      <w:pPr>
        <w:pStyle w:val="ListParagraph"/>
        <w:numPr>
          <w:ilvl w:val="0"/>
          <w:numId w:val="2"/>
        </w:numPr>
        <w:spacing w:after="60"/>
      </w:pPr>
      <w:r>
        <w:t xml:space="preserve">Failure to account</w:t>
      </w:r>
    </w:p>
    <w:p>
      <w:pPr>
        <w:pStyle w:val="ListParagraph"/>
        <w:numPr>
          <w:ilvl w:val="0"/>
          <w:numId w:val="2"/>
        </w:numPr>
        <w:spacing w:after="60"/>
      </w:pPr>
      <w:r>
        <w:t xml:space="preserve">Failure to collect additional deposits</w:t>
      </w:r>
    </w:p>
    <w:p>
      <w:pPr>
        <w:pStyle w:val="Heading1"/>
        <w:pBdr>
          <w:bottom w:val="single" w:color="1F3864" w:sz="8" w:space="4"/>
        </w:pBdr>
        <w:spacing w:after="160" w:before="320"/>
      </w:pPr>
      <w:r>
        <w:rPr>
          <w:b/>
          <w:bCs/>
          <w:color w:val="1F3864"/>
        </w:rPr>
        <w:t xml:space="preserve">7. Other Pitfalls: Case Studies</w:t>
      </w:r>
    </w:p>
    <w:p>
      <w:pPr>
        <w:spacing w:after="160"/>
      </w:pPr>
      <w:r>
        <w:rPr>
          <w:i/>
          <w:iCs/>
          <w:color w:val="555555"/>
          <w:sz w:val="20"/>
          <w:szCs w:val="20"/>
        </w:rPr>
        <w:t xml:space="preserve">For each case, identify what law, regulation, Article, or Standard of Practice may be violated.</w:t>
      </w:r>
    </w:p>
    <w:p>
      <w:pPr>
        <w:spacing w:after="120"/>
      </w:pPr>
      <w:r>
        <w:rPr>
          <w:b w:val="false"/>
          <w:bCs w:val="false"/>
        </w:rPr>
        <w:t xml:space="preserve">Oops: A seller specified propane proration, excluded the chandelier, and included the stove and dishwasher (refrigerator unmentioned). The buyer's contract reversed all of this, and the listing agent forwarded it to the sellers to sign without reviewing it.</w:t>
      </w:r>
    </w:p>
    <w:p>
      <w:pPr>
        <w:spacing w:after="120"/>
      </w:pPr>
      <w:r>
        <w:rPr>
          <w:b w:val="false"/>
          <w:bCs w:val="false"/>
        </w:rPr>
        <w:t xml:space="preserve">It's Okay to Do It This Way: An agent advised unmarried co-purchasers to take title as joint tenants with right of survivorship because “that's what you do in these cases.”</w:t>
      </w:r>
    </w:p>
    <w:p>
      <w:pPr>
        <w:spacing w:after="120"/>
      </w:pPr>
      <w:r>
        <w:rPr>
          <w:b w:val="false"/>
          <w:bCs w:val="false"/>
        </w:rPr>
        <w:t xml:space="preserve">You'll Never Work in This Town Again: A new agent advertises her commission rate and savings to consumers; other brokers discuss capping her cooperative compensation and steering business away from her at an association luncheon.</w:t>
      </w:r>
    </w:p>
    <w:p>
      <w:pPr>
        <w:spacing w:after="120"/>
      </w:pPr>
      <w:r>
        <w:rPr>
          <w:b w:val="false"/>
          <w:bCs w:val="false"/>
        </w:rPr>
        <w:t xml:space="preserve">I'm Just a Partner: An agent sells a property he co-owns without listing it with his broker, advertising it only on social media with his partner's number.</w:t>
      </w:r>
    </w:p>
    <w:p>
      <w:pPr>
        <w:spacing w:after="120"/>
      </w:pPr>
      <w:r>
        <w:rPr>
          <w:b w:val="false"/>
          <w:bCs w:val="false"/>
        </w:rPr>
        <w:t xml:space="preserve">Me Too: A listing agent discloses at the appointment that he may show the property to an investment group he is part of, and names the LLC.</w:t>
      </w:r>
    </w:p>
    <w:p>
      <w:pPr>
        <w:spacing w:after="120"/>
      </w:pPr>
      <w:r>
        <w:rPr>
          <w:b w:val="false"/>
          <w:bCs w:val="false"/>
        </w:rPr>
        <w:t xml:space="preserve">Oh, I Never Got Your Message: An agent's emailed offer, sent with a read receipt confirming delivery, is later denied as ever having been received by the listing agent, whose seller accepted a different offer.</w:t>
      </w:r>
    </w:p>
    <w:p>
      <w:pPr>
        <w:spacing w:after="120"/>
      </w:pPr>
      <w:r>
        <w:rPr>
          <w:b w:val="false"/>
          <w:bCs w:val="false"/>
        </w:rPr>
        <w:t xml:space="preserve">It's a Process: A cooperating broker's compensation check arrives short, with a note deducting an unstated “processing fee.”</w:t>
      </w:r>
    </w:p>
    <w:p>
      <w:pPr>
        <w:spacing w:after="120"/>
      </w:pPr>
      <w:r>
        <w:rPr>
          <w:b w:val="false"/>
          <w:bCs w:val="false"/>
        </w:rPr>
        <w:t xml:space="preserve">Best Title Is the Best: A broker steers clients to a title company owned in part by her husband and herself, without disclosing her financial interest.</w:t>
      </w:r>
    </w:p>
    <w:p>
      <w:pPr>
        <w:spacing w:after="120"/>
      </w:pPr>
      <w:r>
        <w:rPr>
          <w:b w:val="false"/>
          <w:bCs w:val="false"/>
        </w:rPr>
        <w:t xml:space="preserve">Follow Me: An agent who leaves her brokerage urges her former clients on social media to cancel their agreements and follow her to the new firm.</w:t>
      </w:r>
    </w:p>
    <w:p>
      <w:pPr>
        <w:spacing w:after="120"/>
      </w:pPr>
      <w:r>
        <w:rPr>
          <w:b w:val="false"/>
          <w:bCs w:val="false"/>
        </w:rPr>
        <w:t xml:space="preserve">Photoshop: An agent edits listing photos to remove a foundation crack, power lines, and neighboring homes (adding landscaping in their place).</w:t>
      </w:r>
    </w:p>
    <w:p>
      <w:pPr>
        <w:spacing w:after="120"/>
      </w:pPr>
      <w:r>
        <w:rPr>
          <w:b w:val="false"/>
          <w:bCs w:val="false"/>
        </w:rPr>
        <w:t xml:space="preserve">Just Lock It Up When You Leave: A rural agent gives a buyer the lockbox combination and lets him tour a hunting camp unaccompanied.</w:t>
      </w:r>
    </w:p>
    <w:p>
      <w:r>
        <w:br w:type="page"/>
      </w:r>
    </w:p>
    <w:p>
      <w:pPr>
        <w:pStyle w:val="Heading1"/>
        <w:pBdr>
          <w:bottom w:val="single" w:color="1F3864" w:sz="8" w:space="4"/>
        </w:pBdr>
        <w:spacing w:after="160" w:before="320"/>
      </w:pPr>
      <w:r>
        <w:rPr>
          <w:b/>
          <w:bCs/>
          <w:color w:val="1F3864"/>
        </w:rPr>
        <w:t xml:space="preserve">8. Avoiding or Mitigating Risk</w:t>
      </w:r>
    </w:p>
    <w:p>
      <w:pPr>
        <w:pStyle w:val="Heading2"/>
        <w:spacing w:after="120" w:before="240"/>
      </w:pPr>
      <w:r>
        <w:rPr>
          <w:b/>
          <w:bCs/>
          <w:color w:val="B7862C"/>
        </w:rPr>
        <w:t xml:space="preserve">Risk Shifting — Where Can an Agent Shift Risk?</w:t>
      </w:r>
    </w:p>
    <w:p>
      <w:pPr>
        <w:pStyle w:val="ListParagraph"/>
        <w:numPr>
          <w:ilvl w:val="0"/>
          <w:numId w:val="2"/>
        </w:numPr>
        <w:spacing w:after="60"/>
      </w:pPr>
      <w:r>
        <w:t xml:space="preserve">Property inspectors</w:t>
      </w:r>
    </w:p>
    <w:p>
      <w:pPr>
        <w:pStyle w:val="ListParagraph"/>
        <w:numPr>
          <w:ilvl w:val="0"/>
          <w:numId w:val="2"/>
        </w:numPr>
        <w:spacing w:after="60"/>
      </w:pPr>
      <w:r>
        <w:t xml:space="preserve">Home warranties</w:t>
      </w:r>
    </w:p>
    <w:p>
      <w:pPr>
        <w:pStyle w:val="ListParagraph"/>
        <w:numPr>
          <w:ilvl w:val="0"/>
          <w:numId w:val="2"/>
        </w:numPr>
        <w:spacing w:after="60"/>
      </w:pPr>
      <w:r>
        <w:t xml:space="preserve">Surveyors</w:t>
      </w:r>
    </w:p>
    <w:p>
      <w:pPr>
        <w:pStyle w:val="ListParagraph"/>
        <w:numPr>
          <w:ilvl w:val="0"/>
          <w:numId w:val="2"/>
        </w:numPr>
        <w:spacing w:after="60"/>
      </w:pPr>
      <w:r>
        <w:t xml:space="preserve">Attorneys / title companies</w:t>
      </w:r>
    </w:p>
    <w:p>
      <w:pPr>
        <w:pStyle w:val="ListParagraph"/>
        <w:numPr>
          <w:ilvl w:val="0"/>
          <w:numId w:val="2"/>
        </w:numPr>
        <w:spacing w:after="60"/>
      </w:pPr>
      <w:r>
        <w:t xml:space="preserve">Errors &amp; Omissions (E&amp;O) insurance — applications typically ask:</w:t>
      </w:r>
    </w:p>
    <w:p>
      <w:pPr>
        <w:pStyle w:val="ListParagraph"/>
        <w:numPr>
          <w:ilvl w:val="1"/>
          <w:numId w:val="2"/>
        </w:numPr>
        <w:spacing w:after="60"/>
      </w:pPr>
      <w:r>
        <w:t xml:space="preserve">Do you engage in multiple representation, and what percentage of transactions?</w:t>
      </w:r>
    </w:p>
    <w:p>
      <w:pPr>
        <w:pStyle w:val="ListParagraph"/>
        <w:numPr>
          <w:ilvl w:val="1"/>
          <w:numId w:val="2"/>
        </w:numPr>
        <w:spacing w:after="60"/>
      </w:pPr>
      <w:r>
        <w:t xml:space="preserve">Do you use board- or state-approved forms, for every transaction?</w:t>
      </w:r>
    </w:p>
    <w:p>
      <w:pPr>
        <w:pStyle w:val="ListParagraph"/>
        <w:numPr>
          <w:ilvl w:val="1"/>
          <w:numId w:val="2"/>
        </w:numPr>
        <w:spacing w:after="60"/>
      </w:pPr>
      <w:r>
        <w:t xml:space="preserve">What percentage of business comes from each category (ranch, residential, commercial, etc.)?</w:t>
      </w:r>
    </w:p>
    <w:p>
      <w:pPr>
        <w:pStyle w:val="ListParagraph"/>
        <w:numPr>
          <w:ilvl w:val="1"/>
          <w:numId w:val="2"/>
        </w:numPr>
        <w:spacing w:after="60"/>
      </w:pPr>
      <w:r>
        <w:t xml:space="preserve">Have your agents taken training in agency, Fair Housing, and antitrust?</w:t>
      </w:r>
    </w:p>
    <w:p>
      <w:pPr>
        <w:pStyle w:val="ListParagraph"/>
        <w:numPr>
          <w:ilvl w:val="1"/>
          <w:numId w:val="2"/>
        </w:numPr>
        <w:spacing w:after="60"/>
      </w:pPr>
      <w:r>
        <w:t xml:space="preserve">Does your state require certain disclosures, and do you make them every time?</w:t>
      </w:r>
    </w:p>
    <w:p>
      <w:pPr>
        <w:pStyle w:val="ListParagraph"/>
        <w:numPr>
          <w:ilvl w:val="1"/>
          <w:numId w:val="2"/>
        </w:numPr>
        <w:spacing w:after="60"/>
      </w:pPr>
      <w:r>
        <w:t xml:space="preserve">Remember: some things are not covered by E&amp;O</w:t>
      </w:r>
    </w:p>
    <w:p>
      <w:pPr>
        <w:pStyle w:val="ListParagraph"/>
        <w:numPr>
          <w:ilvl w:val="0"/>
          <w:numId w:val="2"/>
        </w:numPr>
        <w:spacing w:after="60"/>
      </w:pPr>
      <w:r>
        <w:t xml:space="preserve">Third-party resources</w:t>
      </w:r>
    </w:p>
    <w:p>
      <w:pPr>
        <w:pStyle w:val="Heading2"/>
        <w:spacing w:after="120" w:before="240"/>
      </w:pPr>
      <w:r>
        <w:rPr>
          <w:b/>
          <w:bCs/>
          <w:color w:val="B7862C"/>
        </w:rPr>
        <w:t xml:space="preserve">Risk Management Habits</w:t>
      </w:r>
    </w:p>
    <w:p>
      <w:pPr>
        <w:pStyle w:val="ListParagraph"/>
        <w:numPr>
          <w:ilvl w:val="0"/>
          <w:numId w:val="2"/>
        </w:numPr>
        <w:spacing w:after="60"/>
      </w:pPr>
      <w:r>
        <w:t xml:space="preserve">Confirming letters and emails (e.g., delivery/read-receipt tools), instructions, and confirmation of instructions</w:t>
      </w:r>
    </w:p>
    <w:p>
      <w:pPr>
        <w:pStyle w:val="ListParagraph"/>
        <w:numPr>
          <w:ilvl w:val="0"/>
          <w:numId w:val="2"/>
        </w:numPr>
        <w:spacing w:after="60"/>
      </w:pPr>
      <w:r>
        <w:t xml:space="preserve">Have sellers review the MLS data sheet</w:t>
      </w:r>
    </w:p>
    <w:p>
      <w:pPr>
        <w:pStyle w:val="ListParagraph"/>
        <w:numPr>
          <w:ilvl w:val="0"/>
          <w:numId w:val="2"/>
        </w:numPr>
        <w:spacing w:after="60"/>
      </w:pPr>
      <w:r>
        <w:t xml:space="preserve">Keep chronological logs — what happened first, who called whom</w:t>
      </w:r>
    </w:p>
    <w:p>
      <w:pPr>
        <w:pStyle w:val="ListParagraph"/>
        <w:numPr>
          <w:ilvl w:val="0"/>
          <w:numId w:val="2"/>
        </w:numPr>
        <w:spacing w:after="60"/>
      </w:pPr>
      <w:r>
        <w:t xml:space="preserve">Log emails, phone calls, text messages, showings, and electronic lockbox activity; take notes</w:t>
      </w:r>
    </w:p>
    <w:p>
      <w:pPr>
        <w:pStyle w:val="ListParagraph"/>
        <w:numPr>
          <w:ilvl w:val="0"/>
          <w:numId w:val="2"/>
        </w:numPr>
        <w:spacing w:after="60"/>
      </w:pPr>
      <w:r>
        <w:t xml:space="preserve">Use software/apps to capture and save text messages</w:t>
      </w:r>
    </w:p>
    <w:p>
      <w:pPr>
        <w:pStyle w:val="ListParagraph"/>
        <w:numPr>
          <w:ilvl w:val="0"/>
          <w:numId w:val="2"/>
        </w:numPr>
        <w:spacing w:after="60"/>
      </w:pPr>
      <w:r>
        <w:t xml:space="preserve">Disclose, disclose, disclose — if you're asking yourself whether to disclose something, the answer is probably yes</w:t>
      </w:r>
    </w:p>
    <w:p>
      <w:pPr>
        <w:pStyle w:val="ListParagraph"/>
        <w:numPr>
          <w:ilvl w:val="0"/>
          <w:numId w:val="2"/>
        </w:numPr>
        <w:spacing w:after="60"/>
      </w:pPr>
      <w:r>
        <w:t xml:space="preserve">Don't rely on your own measurements or courthouse data without verifying</w:t>
      </w:r>
    </w:p>
    <w:p>
      <w:pPr>
        <w:pStyle w:val="ListParagraph"/>
        <w:numPr>
          <w:ilvl w:val="0"/>
          <w:numId w:val="2"/>
        </w:numPr>
        <w:spacing w:after="60"/>
      </w:pPr>
      <w:r>
        <w:t xml:space="preserve">Prepare every file as if you will have to defend it in court:</w:t>
      </w:r>
    </w:p>
    <w:p>
      <w:pPr>
        <w:pStyle w:val="ListParagraph"/>
        <w:numPr>
          <w:ilvl w:val="1"/>
          <w:numId w:val="2"/>
        </w:numPr>
        <w:spacing w:after="60"/>
      </w:pPr>
      <w:r>
        <w:t xml:space="preserve">Don't rely on memory</w:t>
      </w:r>
    </w:p>
    <w:p>
      <w:pPr>
        <w:pStyle w:val="ListParagraph"/>
        <w:numPr>
          <w:ilvl w:val="1"/>
          <w:numId w:val="2"/>
        </w:numPr>
        <w:spacing w:after="60"/>
      </w:pPr>
      <w:r>
        <w:t xml:space="preserve">Other parties to the transaction may not be available later</w:t>
      </w:r>
    </w:p>
    <w:p>
      <w:pPr>
        <w:pStyle w:val="ListParagraph"/>
        <w:numPr>
          <w:ilvl w:val="1"/>
          <w:numId w:val="2"/>
        </w:numPr>
        <w:spacing w:after="60"/>
      </w:pPr>
      <w:r>
        <w:t xml:space="preserve">Always obtain copies of all public information</w:t>
      </w:r>
    </w:p>
    <w:p>
      <w:pPr>
        <w:pStyle w:val="ListParagraph"/>
        <w:numPr>
          <w:ilvl w:val="0"/>
          <w:numId w:val="2"/>
        </w:numPr>
        <w:spacing w:after="60"/>
      </w:pPr>
      <w:r>
        <w:t xml:space="preserve">Follow office routines and guidelines — and, as a broker/manager, actually check that they're being followed</w:t>
      </w:r>
    </w:p>
    <w:p>
      <w:pPr>
        <w:pStyle w:val="ListParagraph"/>
        <w:numPr>
          <w:ilvl w:val="0"/>
          <w:numId w:val="2"/>
        </w:numPr>
        <w:spacing w:after="60"/>
      </w:pPr>
      <w:r>
        <w:t xml:space="preserve">Have a system to review all emails, mail, contracts, and text messages</w:t>
      </w:r>
    </w:p>
    <w:p>
      <w:pPr>
        <w:pStyle w:val="ListParagraph"/>
        <w:numPr>
          <w:ilvl w:val="0"/>
          <w:numId w:val="2"/>
        </w:numPr>
        <w:spacing w:after="60"/>
      </w:pPr>
      <w:r>
        <w:t xml:space="preserve">Keep your broker in the loop — that's what they're there for</w:t>
      </w:r>
    </w:p>
    <w:p>
      <w:pPr>
        <w:pStyle w:val="ListParagraph"/>
        <w:numPr>
          <w:ilvl w:val="0"/>
          <w:numId w:val="2"/>
        </w:numPr>
        <w:spacing w:after="60"/>
      </w:pPr>
      <w:r>
        <w:t xml:space="preserve">Report potential problems immediately to your E&amp;O carrier (many won't cover late-reported claims)</w:t>
      </w:r>
    </w:p>
    <w:p>
      <w:pPr>
        <w:pStyle w:val="ListParagraph"/>
        <w:numPr>
          <w:ilvl w:val="0"/>
          <w:numId w:val="2"/>
        </w:numPr>
        <w:spacing w:after="60"/>
      </w:pPr>
      <w:r>
        <w:t xml:space="preserve">Review every contract before your client signs — better to redraft than to let them sign a bad one</w:t>
      </w:r>
    </w:p>
    <w:p>
      <w:pPr>
        <w:pStyle w:val="ListParagraph"/>
        <w:numPr>
          <w:ilvl w:val="0"/>
          <w:numId w:val="2"/>
        </w:numPr>
        <w:spacing w:after="60"/>
      </w:pPr>
      <w:r>
        <w:t xml:space="preserve">Only say what you know, not what you think:</w:t>
      </w:r>
    </w:p>
    <w:p>
      <w:pPr>
        <w:pStyle w:val="ListParagraph"/>
        <w:numPr>
          <w:ilvl w:val="1"/>
          <w:numId w:val="2"/>
        </w:numPr>
        <w:spacing w:after="60"/>
      </w:pPr>
      <w:r>
        <w:t xml:space="preserve">“I don't know” is a great answer — follow it with “but I'll try to find out”</w:t>
      </w:r>
    </w:p>
    <w:p>
      <w:pPr>
        <w:pStyle w:val="ListParagraph"/>
        <w:numPr>
          <w:ilvl w:val="1"/>
          <w:numId w:val="2"/>
        </w:numPr>
        <w:spacing w:after="60"/>
      </w:pPr>
      <w:r>
        <w:t xml:space="preserve">If you offer an opinion, say clearly that it's an opinion</w:t>
      </w:r>
    </w:p>
    <w:p>
      <w:pPr>
        <w:pStyle w:val="ListParagraph"/>
        <w:numPr>
          <w:ilvl w:val="0"/>
          <w:numId w:val="2"/>
        </w:numPr>
        <w:spacing w:after="60"/>
      </w:pPr>
      <w:r>
        <w:t xml:space="preserve">Avoid overstated adjectives like “completely remodeled”, and never “photoshop” listing photos in a misleading way</w:t>
      </w:r>
    </w:p>
    <w:p>
      <w:pPr>
        <w:pStyle w:val="ListParagraph"/>
        <w:numPr>
          <w:ilvl w:val="0"/>
          <w:numId w:val="2"/>
        </w:numPr>
        <w:spacing w:after="60"/>
      </w:pPr>
      <w:r>
        <w:t xml:space="preserve">Maintain confidentiality and protect privacy — shred files at the legally allowable date if disposing of them</w:t>
      </w:r>
    </w:p>
    <w:p>
      <w:pPr>
        <w:pStyle w:val="Heading2"/>
        <w:spacing w:after="120" w:before="240"/>
      </w:pPr>
      <w:r>
        <w:rPr>
          <w:b/>
          <w:bCs/>
          <w:color w:val="B7862C"/>
        </w:rPr>
        <w:t xml:space="preserve">What Belongs in a Well-Documented File?</w:t>
      </w:r>
    </w:p>
    <w:p>
      <w:pPr>
        <w:pBdr>
          <w:bottom w:val="single" w:color="999999" w:sz="4" w:space="1"/>
        </w:pBdr>
        <w:spacing w:after="200"/>
      </w:pPr>
      <w:r>
        <w:t xml:space="preserve"> </w:t>
      </w:r>
    </w:p>
    <w:p>
      <w:pPr>
        <w:pBdr>
          <w:bottom w:val="single" w:color="999999" w:sz="4" w:space="1"/>
        </w:pBdr>
        <w:spacing w:after="200"/>
      </w:pPr>
      <w:r>
        <w:t xml:space="preserve"> </w:t>
      </w:r>
    </w:p>
    <w:p>
      <w:pPr>
        <w:pBdr>
          <w:bottom w:val="single" w:color="999999" w:sz="4" w:space="1"/>
        </w:pBdr>
        <w:spacing w:after="200"/>
      </w:pPr>
      <w:r>
        <w:t xml:space="preserve"> </w:t>
      </w:r>
    </w:p>
    <w:p>
      <w:r>
        <w:br w:type="page"/>
      </w:r>
    </w:p>
    <w:p>
      <w:pPr>
        <w:pStyle w:val="Heading1"/>
        <w:pBdr>
          <w:bottom w:val="single" w:color="1F3864" w:sz="8" w:space="4"/>
        </w:pBdr>
        <w:spacing w:after="160" w:before="320"/>
      </w:pPr>
      <w:r>
        <w:rPr>
          <w:b/>
          <w:bCs/>
          <w:color w:val="1F3864"/>
        </w:rPr>
        <w:t xml:space="preserve">Wrap-Up</w:t>
      </w:r>
    </w:p>
    <w:p>
      <w:pPr>
        <w:pStyle w:val="Heading2"/>
        <w:spacing w:after="120" w:before="240"/>
      </w:pPr>
      <w:r>
        <w:rPr>
          <w:b/>
          <w:bCs/>
          <w:color w:val="B7862C"/>
        </w:rPr>
        <w:t xml:space="preserve">Three Take-Away Ideas</w:t>
      </w:r>
    </w:p>
    <w:p>
      <w:pPr>
        <w:pStyle w:val="ListParagraph"/>
        <w:numPr>
          <w:ilvl w:val="0"/>
          <w:numId w:val="3"/>
        </w:numPr>
        <w:spacing w:after="100"/>
      </w:pPr>
      <w:r>
        <w:t xml:space="preserve">_______________________________________________</w:t>
      </w:r>
    </w:p>
    <w:p>
      <w:pPr>
        <w:pStyle w:val="ListParagraph"/>
        <w:numPr>
          <w:ilvl w:val="0"/>
          <w:numId w:val="3"/>
        </w:numPr>
        <w:spacing w:after="100"/>
      </w:pPr>
      <w:r>
        <w:t xml:space="preserve">_______________________________________________</w:t>
      </w:r>
    </w:p>
    <w:p>
      <w:pPr>
        <w:pStyle w:val="ListParagraph"/>
        <w:numPr>
          <w:ilvl w:val="0"/>
          <w:numId w:val="3"/>
        </w:numPr>
        <w:spacing w:after="100"/>
      </w:pPr>
      <w:r>
        <w:t xml:space="preserve">_______________________________________________</w:t>
      </w:r>
    </w:p>
    <w:p>
      <w:pPr>
        <w:pStyle w:val="Heading2"/>
        <w:spacing w:after="120" w:before="240"/>
      </w:pPr>
      <w:r>
        <w:rPr>
          <w:b/>
          <w:bCs/>
          <w:color w:val="B7862C"/>
        </w:rPr>
        <w:t xml:space="preserve">Anything You Are NOT Going to Do Anymore?</w:t>
      </w:r>
    </w:p>
    <w:p>
      <w:pPr>
        <w:pBdr>
          <w:bottom w:val="single" w:color="999999" w:sz="4" w:space="1"/>
        </w:pBdr>
        <w:spacing w:after="200"/>
      </w:pPr>
      <w:r>
        <w:t xml:space="preserve"> </w:t>
      </w:r>
    </w:p>
    <w:p>
      <w:pPr>
        <w:pBdr>
          <w:bottom w:val="single" w:color="999999" w:sz="4" w:space="1"/>
        </w:pBdr>
        <w:spacing w:after="200"/>
      </w:pPr>
      <w:r>
        <w:t xml:space="preserve"> </w:t>
      </w:r>
    </w:p>
    <w:p>
      <w:pPr>
        <w:pBdr>
          <w:bottom w:val="single" w:color="999999" w:sz="4" w:space="1"/>
        </w:pBdr>
        <w:spacing w:after="200"/>
      </w:pPr>
      <w:r>
        <w:t xml:space="preserve"> </w:t>
      </w:r>
    </w:p>
    <w:sectPr>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260"/>
      </w:pPr>
    </w:lvl>
    <w:lvl w:ilvl="1" w15:tentative="1">
      <w:start w:val="1"/>
      <w:numFmt w:val="bullet"/>
      <w:lvlText w:val="◦"/>
      <w:lvlJc w:val="left"/>
      <w:pPr>
        <w:ind w:left="720" w:hanging="260"/>
      </w:pPr>
    </w:lvl>
  </w:abstractNum>
  <w:abstractNum w:abstractNumId="3" w15:restartNumberingAfterBreak="0">
    <w:multiLevelType w:val="hybridMultilevel"/>
    <w:lvl w:ilvl="0" w15:tentative="1">
      <w:start w:val="1"/>
      <w:numFmt w:val="decimal"/>
      <w:lvlText w:val="%1."/>
      <w:lvlJc w:val="left"/>
      <w:pPr>
        <w:ind w:left="400" w:hanging="34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2026-07-28T22:17:06.503Z</dcterms:created>
  <dcterms:modified xsi:type="dcterms:W3CDTF">2026-07-28T22:17:06.517Z</dcterms:modified>
</cp:coreProperties>
</file>

<file path=docProps/custom.xml><?xml version="1.0" encoding="utf-8"?>
<Properties xmlns="http://schemas.openxmlformats.org/officeDocument/2006/custom-properties" xmlns:vt="http://schemas.openxmlformats.org/officeDocument/2006/docPropsVTypes"/>
</file>